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55" w:rsidRDefault="00DC4E55" w:rsidP="00DC4E55">
      <w:pPr>
        <w:pStyle w:val="Heading1"/>
        <w:jc w:val="center"/>
      </w:pPr>
      <w:r>
        <w:rPr>
          <w:noProof/>
          <w:lang w:eastAsia="en-AU"/>
        </w:rPr>
        <w:drawing>
          <wp:inline distT="0" distB="0" distL="0" distR="0" wp14:anchorId="5307EED3" wp14:editId="7261EC77">
            <wp:extent cx="2619632" cy="199370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_CMYK.png"/>
                    <pic:cNvPicPr/>
                  </pic:nvPicPr>
                  <pic:blipFill>
                    <a:blip r:embed="rId9">
                      <a:extLst>
                        <a:ext uri="{28A0092B-C50C-407E-A947-70E740481C1C}">
                          <a14:useLocalDpi xmlns:a14="http://schemas.microsoft.com/office/drawing/2010/main" val="0"/>
                        </a:ext>
                      </a:extLst>
                    </a:blip>
                    <a:stretch>
                      <a:fillRect/>
                    </a:stretch>
                  </pic:blipFill>
                  <pic:spPr>
                    <a:xfrm>
                      <a:off x="0" y="0"/>
                      <a:ext cx="2626140" cy="1998656"/>
                    </a:xfrm>
                    <a:prstGeom prst="rect">
                      <a:avLst/>
                    </a:prstGeom>
                  </pic:spPr>
                </pic:pic>
              </a:graphicData>
            </a:graphic>
          </wp:inline>
        </w:drawing>
      </w:r>
    </w:p>
    <w:p w:rsidR="00DC4E55" w:rsidRDefault="00DC4E55" w:rsidP="00DC4E55">
      <w:pPr>
        <w:pStyle w:val="Heading1"/>
        <w:tabs>
          <w:tab w:val="left" w:pos="8014"/>
        </w:tabs>
        <w:rPr>
          <w:rFonts w:asciiTheme="minorHAnsi" w:hAnsiTheme="minorHAnsi" w:cstheme="minorHAnsi"/>
          <w:sz w:val="24"/>
        </w:rPr>
      </w:pPr>
      <w:r>
        <w:rPr>
          <w:rFonts w:asciiTheme="minorHAnsi" w:hAnsiTheme="minorHAnsi" w:cstheme="minorHAnsi"/>
          <w:sz w:val="24"/>
        </w:rPr>
        <w:tab/>
      </w:r>
    </w:p>
    <w:p w:rsidR="00DC4E55" w:rsidRDefault="00DC4E55" w:rsidP="00DC4E55">
      <w:pPr>
        <w:pStyle w:val="Heading1"/>
        <w:jc w:val="center"/>
        <w:rPr>
          <w:rFonts w:asciiTheme="minorHAnsi" w:hAnsiTheme="minorHAnsi" w:cstheme="minorHAnsi"/>
          <w:sz w:val="24"/>
        </w:rPr>
      </w:pPr>
    </w:p>
    <w:p w:rsidR="00DC4E55" w:rsidRDefault="007033B4" w:rsidP="00DC4E55">
      <w:pPr>
        <w:pStyle w:val="Heading1"/>
        <w:jc w:val="center"/>
        <w:rPr>
          <w:rFonts w:asciiTheme="minorHAnsi" w:hAnsiTheme="minorHAnsi" w:cstheme="minorHAnsi"/>
          <w:sz w:val="24"/>
        </w:rPr>
      </w:pPr>
      <w:r>
        <w:rPr>
          <w:rFonts w:asciiTheme="minorHAnsi" w:hAnsiTheme="minorHAnsi" w:cstheme="minorHAnsi"/>
          <w:sz w:val="24"/>
        </w:rPr>
        <w:t>Submission to</w:t>
      </w:r>
      <w:r w:rsidR="00AD242D">
        <w:rPr>
          <w:rFonts w:asciiTheme="minorHAnsi" w:hAnsiTheme="minorHAnsi" w:cstheme="minorHAnsi"/>
          <w:sz w:val="24"/>
        </w:rPr>
        <w:t xml:space="preserve"> the</w:t>
      </w:r>
    </w:p>
    <w:p w:rsidR="00AD242D" w:rsidRPr="00AD242D" w:rsidRDefault="00AD242D" w:rsidP="00AD242D">
      <w:pPr>
        <w:spacing w:before="120" w:after="0"/>
        <w:jc w:val="center"/>
        <w:rPr>
          <w:bCs/>
          <w:color w:val="237BBC"/>
          <w:kern w:val="32"/>
          <w:sz w:val="48"/>
          <w:szCs w:val="48"/>
        </w:rPr>
      </w:pPr>
      <w:r w:rsidRPr="00AD242D">
        <w:rPr>
          <w:bCs/>
          <w:color w:val="237BBC"/>
          <w:kern w:val="32"/>
          <w:sz w:val="48"/>
          <w:szCs w:val="48"/>
        </w:rPr>
        <w:t>Australian Government’s</w:t>
      </w:r>
    </w:p>
    <w:p w:rsidR="00DC4E55" w:rsidRPr="00F23905" w:rsidRDefault="0000423D" w:rsidP="00DC4E55">
      <w:pPr>
        <w:jc w:val="center"/>
        <w:rPr>
          <w:rFonts w:ascii="Calibri" w:hAnsi="Calibri" w:cs="Calibri"/>
          <w:b/>
          <w:color w:val="365F91" w:themeColor="accent1" w:themeShade="BF"/>
          <w:sz w:val="48"/>
          <w:szCs w:val="48"/>
        </w:rPr>
      </w:pPr>
      <w:r>
        <w:rPr>
          <w:bCs/>
          <w:color w:val="237BBC"/>
          <w:kern w:val="32"/>
          <w:sz w:val="48"/>
          <w:szCs w:val="48"/>
        </w:rPr>
        <w:t>Competition Policy</w:t>
      </w:r>
      <w:r w:rsidRPr="0000423D">
        <w:rPr>
          <w:bCs/>
          <w:color w:val="237BBC"/>
          <w:kern w:val="32"/>
          <w:sz w:val="48"/>
          <w:szCs w:val="48"/>
        </w:rPr>
        <w:t xml:space="preserve"> </w:t>
      </w:r>
      <w:r>
        <w:rPr>
          <w:bCs/>
          <w:color w:val="237BBC"/>
          <w:kern w:val="32"/>
          <w:sz w:val="48"/>
          <w:szCs w:val="48"/>
        </w:rPr>
        <w:t>Review</w:t>
      </w:r>
    </w:p>
    <w:p w:rsidR="00DC4E55" w:rsidRPr="00C5288F" w:rsidRDefault="00DC4E55" w:rsidP="00DC4E55">
      <w:pPr>
        <w:jc w:val="center"/>
        <w:rPr>
          <w:rFonts w:eastAsiaTheme="majorEastAsia" w:cstheme="minorHAnsi"/>
          <w:b/>
          <w:bCs/>
          <w:color w:val="365F91" w:themeColor="accent1" w:themeShade="BF"/>
          <w:sz w:val="32"/>
          <w:szCs w:val="28"/>
        </w:rPr>
      </w:pPr>
    </w:p>
    <w:p w:rsidR="00DC4E55" w:rsidRPr="00C5288F" w:rsidRDefault="007033B4" w:rsidP="00DC4E55">
      <w:pPr>
        <w:jc w:val="center"/>
        <w:rPr>
          <w:rFonts w:eastAsiaTheme="majorEastAsia" w:cstheme="minorHAnsi"/>
          <w:b/>
          <w:bCs/>
          <w:color w:val="365F91" w:themeColor="accent1" w:themeShade="BF"/>
          <w:sz w:val="32"/>
          <w:szCs w:val="28"/>
        </w:rPr>
      </w:pPr>
      <w:r>
        <w:rPr>
          <w:rFonts w:ascii="Calibri" w:hAnsi="Calibri" w:cs="Calibri"/>
          <w:b/>
          <w:color w:val="365F91" w:themeColor="accent1" w:themeShade="BF"/>
          <w:sz w:val="32"/>
        </w:rPr>
        <w:t>June</w:t>
      </w:r>
      <w:r w:rsidR="00DC4E55">
        <w:rPr>
          <w:rFonts w:ascii="Calibri" w:hAnsi="Calibri" w:cs="Calibri"/>
          <w:b/>
          <w:color w:val="365F91" w:themeColor="accent1" w:themeShade="BF"/>
          <w:sz w:val="32"/>
        </w:rPr>
        <w:t xml:space="preserve"> 2014</w:t>
      </w:r>
    </w:p>
    <w:p w:rsidR="00DC4E55" w:rsidRDefault="00DC4E55" w:rsidP="00DC4E55">
      <w:pPr>
        <w:jc w:val="center"/>
        <w:rPr>
          <w:rFonts w:cstheme="minorHAnsi"/>
        </w:rPr>
        <w:sectPr w:rsidR="00DC4E55" w:rsidSect="00EB36DD">
          <w:headerReference w:type="default" r:id="rId10"/>
          <w:footerReference w:type="default" r:id="rId11"/>
          <w:pgSz w:w="11906" w:h="16838"/>
          <w:pgMar w:top="1670" w:right="1440" w:bottom="1440" w:left="1440" w:header="720" w:footer="461" w:gutter="0"/>
          <w:pgNumType w:start="1"/>
          <w:cols w:space="720"/>
          <w:titlePg/>
          <w:docGrid w:linePitch="360"/>
        </w:sectPr>
      </w:pPr>
      <w:r w:rsidRPr="00DF7B50">
        <w:rPr>
          <w:rFonts w:eastAsiaTheme="majorEastAsia" w:cstheme="minorHAnsi"/>
          <w:b/>
          <w:bCs/>
          <w:color w:val="365F91" w:themeColor="accent1" w:themeShade="BF"/>
          <w:sz w:val="32"/>
          <w:szCs w:val="28"/>
        </w:rPr>
        <w:br w:type="page"/>
      </w:r>
    </w:p>
    <w:p w:rsidR="00DC4E55" w:rsidRDefault="00DC4E55" w:rsidP="00DC4E55">
      <w:pPr>
        <w:rPr>
          <w:rFonts w:eastAsiaTheme="majorEastAsia" w:cstheme="minorHAnsi"/>
          <w:b/>
          <w:bCs/>
          <w:color w:val="4F81BD" w:themeColor="accent1"/>
          <w:sz w:val="26"/>
          <w:szCs w:val="26"/>
          <w:lang w:val="en-US"/>
        </w:rPr>
      </w:pPr>
    </w:p>
    <w:p w:rsidR="00DC4E55" w:rsidRDefault="00DC4E55" w:rsidP="00DC4E55">
      <w:pPr>
        <w:pStyle w:val="Heading2"/>
        <w:rPr>
          <w:rFonts w:asciiTheme="minorHAnsi" w:hAnsiTheme="minorHAnsi" w:cstheme="minorHAnsi"/>
        </w:rPr>
      </w:pPr>
    </w:p>
    <w:p w:rsidR="00DC4E55" w:rsidRPr="000E7DF2" w:rsidRDefault="00DC4E55" w:rsidP="00DC4E55">
      <w:pPr>
        <w:pStyle w:val="Heading2"/>
        <w:rPr>
          <w:rFonts w:asciiTheme="minorHAnsi" w:hAnsiTheme="minorHAnsi" w:cstheme="minorHAnsi"/>
        </w:rPr>
      </w:pPr>
      <w:r w:rsidRPr="000E7DF2">
        <w:rPr>
          <w:rFonts w:asciiTheme="minorHAnsi" w:hAnsiTheme="minorHAnsi" w:cstheme="minorHAnsi"/>
        </w:rPr>
        <w:t xml:space="preserve">Introduction </w:t>
      </w:r>
    </w:p>
    <w:p w:rsidR="00DC4E55" w:rsidRPr="005B13AB" w:rsidRDefault="00DC4E55" w:rsidP="00DC4E55">
      <w:pPr>
        <w:rPr>
          <w:rFonts w:eastAsiaTheme="majorEastAsia" w:cstheme="minorHAnsi"/>
          <w:b/>
          <w:bCs/>
          <w:color w:val="365F91" w:themeColor="accent1" w:themeShade="BF"/>
          <w:sz w:val="32"/>
          <w:szCs w:val="28"/>
        </w:rPr>
      </w:pPr>
      <w:r w:rsidRPr="001C43F6">
        <w:rPr>
          <w:rFonts w:cstheme="minorHAnsi"/>
        </w:rPr>
        <w:t xml:space="preserve">The Australian Healthcare &amp; Hospitals Association (AHHA) welcomes the opportunity to provide </w:t>
      </w:r>
      <w:r>
        <w:rPr>
          <w:rFonts w:cstheme="minorHAnsi"/>
        </w:rPr>
        <w:t xml:space="preserve">a submission </w:t>
      </w:r>
      <w:r>
        <w:t xml:space="preserve">as part of the National Competition Policy Review. </w:t>
      </w:r>
    </w:p>
    <w:p w:rsidR="00DC4E55" w:rsidRDefault="00DC4E55" w:rsidP="00DC4E55">
      <w:r>
        <w:t>The AHHA is Australia’s national peak body for public hospitals and health care providers. Our membership includes state health departments, Local Hospital Networks and public hospitals, community health services, Medicare Locals and primary healthcare providers, universities, and individual health professionals and academics. We are uniquely placed to be an independent, national voice for universal high quality healthcare to benefit the whole community.</w:t>
      </w:r>
    </w:p>
    <w:p w:rsidR="00A66110" w:rsidRDefault="00A66110" w:rsidP="00AD242D">
      <w:pPr>
        <w:autoSpaceDE w:val="0"/>
        <w:autoSpaceDN w:val="0"/>
        <w:adjustRightInd w:val="0"/>
        <w:spacing w:after="120" w:line="240" w:lineRule="auto"/>
        <w:rPr>
          <w:rFonts w:ascii="Calibri" w:hAnsi="Calibri" w:cs="Calibri"/>
          <w:color w:val="000000"/>
        </w:rPr>
      </w:pPr>
      <w:r w:rsidRPr="00E731F4">
        <w:rPr>
          <w:rFonts w:ascii="Calibri" w:hAnsi="Calibri" w:cs="Calibri"/>
          <w:color w:val="000000"/>
        </w:rPr>
        <w:t xml:space="preserve">The Terms of Reference </w:t>
      </w:r>
      <w:r>
        <w:rPr>
          <w:rFonts w:ascii="Calibri" w:hAnsi="Calibri" w:cs="Calibri"/>
          <w:color w:val="000000"/>
        </w:rPr>
        <w:t xml:space="preserve">for the Competition Policy Review </w:t>
      </w:r>
      <w:r w:rsidRPr="00E731F4">
        <w:rPr>
          <w:rFonts w:ascii="Calibri" w:hAnsi="Calibri" w:cs="Calibri"/>
          <w:color w:val="000000"/>
        </w:rPr>
        <w:t xml:space="preserve">include the following principle: </w:t>
      </w:r>
    </w:p>
    <w:p w:rsidR="00A66110" w:rsidRPr="00A66110" w:rsidRDefault="00A66110" w:rsidP="00AD242D">
      <w:pPr>
        <w:ind w:left="426"/>
        <w:rPr>
          <w:rFonts w:ascii="Calibri" w:hAnsi="Calibri" w:cs="Calibri"/>
          <w:i/>
          <w:color w:val="000000"/>
        </w:rPr>
      </w:pPr>
      <w:r w:rsidRPr="00E731F4">
        <w:rPr>
          <w:rFonts w:ascii="Calibri" w:hAnsi="Calibri" w:cs="Calibri"/>
          <w:i/>
          <w:color w:val="000000"/>
        </w:rPr>
        <w:t xml:space="preserve">‘Government should not be a substitute for the private sector where markets are, or can, function effectively or where contestability can be realised’. </w:t>
      </w:r>
    </w:p>
    <w:p w:rsidR="001B4EEC" w:rsidRPr="00A66110" w:rsidRDefault="00A66110" w:rsidP="00AD242D">
      <w:pPr>
        <w:spacing w:after="0" w:line="240" w:lineRule="auto"/>
        <w:rPr>
          <w:rFonts w:ascii="Calibri" w:hAnsi="Calibri" w:cs="Calibri"/>
          <w:color w:val="000000"/>
        </w:rPr>
      </w:pPr>
      <w:r w:rsidRPr="00A66110">
        <w:t>To this end, the Review’s policy goals are innovation, cost efficiency and consumer responsiveness</w:t>
      </w:r>
      <w:r w:rsidR="001E22DB">
        <w:t>. These are shared goals in health policy, but are complemented by health-specific goals:</w:t>
      </w:r>
    </w:p>
    <w:p w:rsidR="001B4EEC" w:rsidRDefault="001B4EEC" w:rsidP="001B4EEC">
      <w:pPr>
        <w:pStyle w:val="ListParagraph"/>
        <w:numPr>
          <w:ilvl w:val="0"/>
          <w:numId w:val="3"/>
        </w:numPr>
      </w:pPr>
      <w:r>
        <w:t xml:space="preserve">Providing </w:t>
      </w:r>
      <w:r w:rsidR="00265D0C">
        <w:t xml:space="preserve">equitable </w:t>
      </w:r>
      <w:r>
        <w:t xml:space="preserve">access to care </w:t>
      </w:r>
    </w:p>
    <w:p w:rsidR="001B4EEC" w:rsidRDefault="00BB0135" w:rsidP="001B4EEC">
      <w:pPr>
        <w:pStyle w:val="ListParagraph"/>
        <w:numPr>
          <w:ilvl w:val="0"/>
          <w:numId w:val="3"/>
        </w:numPr>
      </w:pPr>
      <w:r w:rsidRPr="001021BD">
        <w:t xml:space="preserve">Achieving and maintaining </w:t>
      </w:r>
      <w:r w:rsidR="001B4EEC">
        <w:t>quality</w:t>
      </w:r>
      <w:r w:rsidR="001E22DB">
        <w:t xml:space="preserve"> and safety</w:t>
      </w:r>
      <w:r w:rsidR="001B4EEC">
        <w:t xml:space="preserve"> of care, and </w:t>
      </w:r>
    </w:p>
    <w:p w:rsidR="001B4EEC" w:rsidRDefault="001B4EEC" w:rsidP="001B4EEC">
      <w:pPr>
        <w:pStyle w:val="ListParagraph"/>
        <w:numPr>
          <w:ilvl w:val="0"/>
          <w:numId w:val="3"/>
        </w:numPr>
      </w:pPr>
      <w:r>
        <w:t xml:space="preserve">Ensuring </w:t>
      </w:r>
      <w:r w:rsidR="00265D0C">
        <w:t>care is affordable</w:t>
      </w:r>
      <w:r>
        <w:t xml:space="preserve">. </w:t>
      </w:r>
    </w:p>
    <w:p w:rsidR="00DC4E55" w:rsidRDefault="00265D0C" w:rsidP="00AD242D">
      <w:pPr>
        <w:spacing w:after="0"/>
        <w:rPr>
          <w:bCs/>
        </w:rPr>
      </w:pPr>
      <w:r>
        <w:t xml:space="preserve">The </w:t>
      </w:r>
      <w:r w:rsidR="00DC4E55" w:rsidRPr="001C5934">
        <w:t xml:space="preserve">AHHA’s vision is for </w:t>
      </w:r>
      <w:r w:rsidR="00D36CCA">
        <w:t xml:space="preserve">health policy which delivers </w:t>
      </w:r>
      <w:r w:rsidR="00DC4E55" w:rsidRPr="001C5934">
        <w:rPr>
          <w:bCs/>
        </w:rPr>
        <w:t>equitable access to excellent and efficient universal healthcare</w:t>
      </w:r>
      <w:r w:rsidR="00DC4E55">
        <w:rPr>
          <w:bCs/>
        </w:rPr>
        <w:t>, a</w:t>
      </w:r>
      <w:r w:rsidR="00D36CCA">
        <w:rPr>
          <w:bCs/>
        </w:rPr>
        <w:t>s</w:t>
      </w:r>
      <w:r w:rsidR="00DC4E55">
        <w:rPr>
          <w:bCs/>
        </w:rPr>
        <w:t xml:space="preserve"> characterised by:</w:t>
      </w:r>
    </w:p>
    <w:p w:rsidR="00DC4E55" w:rsidRPr="00F23905" w:rsidRDefault="00DC4E55" w:rsidP="00AD242D">
      <w:pPr>
        <w:pStyle w:val="Heading2"/>
        <w:numPr>
          <w:ilvl w:val="0"/>
          <w:numId w:val="2"/>
        </w:numPr>
        <w:spacing w:before="0" w:after="100" w:afterAutospacing="1" w:line="240" w:lineRule="auto"/>
        <w:ind w:left="714" w:hanging="357"/>
        <w:rPr>
          <w:rFonts w:asciiTheme="minorHAnsi" w:eastAsiaTheme="minorHAnsi" w:hAnsiTheme="minorHAnsi" w:cstheme="minorBidi"/>
          <w:b w:val="0"/>
          <w:bCs w:val="0"/>
          <w:color w:val="auto"/>
          <w:sz w:val="22"/>
          <w:szCs w:val="22"/>
        </w:rPr>
      </w:pPr>
      <w:r w:rsidRPr="00F23905">
        <w:rPr>
          <w:rFonts w:asciiTheme="minorHAnsi" w:eastAsiaTheme="minorHAnsi" w:hAnsiTheme="minorHAnsi" w:cstheme="minorBidi"/>
          <w:b w:val="0"/>
          <w:bCs w:val="0"/>
          <w:color w:val="auto"/>
          <w:sz w:val="22"/>
          <w:szCs w:val="22"/>
        </w:rPr>
        <w:t>Evidence based practice</w:t>
      </w:r>
      <w:r>
        <w:rPr>
          <w:rFonts w:asciiTheme="minorHAnsi" w:eastAsiaTheme="minorHAnsi" w:hAnsiTheme="minorHAnsi" w:cstheme="minorBidi"/>
          <w:b w:val="0"/>
          <w:bCs w:val="0"/>
          <w:color w:val="auto"/>
          <w:sz w:val="22"/>
          <w:szCs w:val="22"/>
        </w:rPr>
        <w:t>;</w:t>
      </w:r>
    </w:p>
    <w:p w:rsidR="00DC4E55" w:rsidRPr="001C5934" w:rsidRDefault="00DC4E55" w:rsidP="00DC4E55">
      <w:pPr>
        <w:pStyle w:val="ListParagraph"/>
        <w:numPr>
          <w:ilvl w:val="0"/>
          <w:numId w:val="2"/>
        </w:numPr>
        <w:spacing w:before="100" w:beforeAutospacing="1" w:after="100" w:afterAutospacing="1" w:line="240" w:lineRule="auto"/>
        <w:rPr>
          <w:lang w:val="en-US"/>
        </w:rPr>
      </w:pPr>
      <w:r w:rsidRPr="001C5934">
        <w:rPr>
          <w:lang w:val="en-US"/>
        </w:rPr>
        <w:t>Equity of access to safe and high quality healthcare</w:t>
      </w:r>
      <w:r>
        <w:rPr>
          <w:lang w:val="en-US"/>
        </w:rPr>
        <w:t xml:space="preserve"> regardless of location or personal characteristics;</w:t>
      </w:r>
    </w:p>
    <w:p w:rsidR="00DC4E55" w:rsidRPr="001C5934" w:rsidRDefault="00DC4E55" w:rsidP="00DC4E55">
      <w:pPr>
        <w:pStyle w:val="ListParagraph"/>
        <w:numPr>
          <w:ilvl w:val="0"/>
          <w:numId w:val="2"/>
        </w:numPr>
        <w:spacing w:before="100" w:beforeAutospacing="1" w:after="100" w:afterAutospacing="1" w:line="240" w:lineRule="auto"/>
        <w:rPr>
          <w:lang w:val="en-US"/>
        </w:rPr>
      </w:pPr>
      <w:r>
        <w:rPr>
          <w:lang w:val="en-US"/>
        </w:rPr>
        <w:t xml:space="preserve">Socially, </w:t>
      </w:r>
      <w:r w:rsidRPr="001C5934">
        <w:rPr>
          <w:lang w:val="en-US"/>
        </w:rPr>
        <w:t xml:space="preserve">economically </w:t>
      </w:r>
      <w:r>
        <w:rPr>
          <w:lang w:val="en-US"/>
        </w:rPr>
        <w:t xml:space="preserve">and environmentally </w:t>
      </w:r>
      <w:r w:rsidRPr="001C5934">
        <w:rPr>
          <w:lang w:val="en-US"/>
        </w:rPr>
        <w:t>sustainable</w:t>
      </w:r>
      <w:r w:rsidRPr="006C5FA1">
        <w:rPr>
          <w:lang w:val="en-US"/>
        </w:rPr>
        <w:t xml:space="preserve"> </w:t>
      </w:r>
      <w:r>
        <w:rPr>
          <w:lang w:val="en-US"/>
        </w:rPr>
        <w:t>p</w:t>
      </w:r>
      <w:r w:rsidRPr="001C5934">
        <w:rPr>
          <w:lang w:val="en-US"/>
        </w:rPr>
        <w:t>olicy</w:t>
      </w:r>
      <w:r>
        <w:rPr>
          <w:lang w:val="en-US"/>
        </w:rPr>
        <w:t>;</w:t>
      </w:r>
      <w:r w:rsidRPr="001C5934">
        <w:rPr>
          <w:lang w:val="en-US"/>
        </w:rPr>
        <w:t xml:space="preserve"> </w:t>
      </w:r>
    </w:p>
    <w:p w:rsidR="00DC4E55" w:rsidRPr="001C5934" w:rsidRDefault="00DC4E55" w:rsidP="00DC4E55">
      <w:pPr>
        <w:pStyle w:val="ListParagraph"/>
        <w:numPr>
          <w:ilvl w:val="0"/>
          <w:numId w:val="2"/>
        </w:numPr>
        <w:spacing w:before="100" w:beforeAutospacing="1" w:after="100" w:afterAutospacing="1" w:line="240" w:lineRule="auto"/>
        <w:rPr>
          <w:lang w:val="en-US"/>
        </w:rPr>
      </w:pPr>
      <w:r w:rsidRPr="001C5934">
        <w:rPr>
          <w:lang w:val="en-US"/>
        </w:rPr>
        <w:t>Efficiently and adequately resourced services</w:t>
      </w:r>
      <w:r>
        <w:rPr>
          <w:lang w:val="en-US"/>
        </w:rPr>
        <w:t>; and</w:t>
      </w:r>
    </w:p>
    <w:p w:rsidR="00DC4E55" w:rsidRPr="001C5934" w:rsidRDefault="00DC4E55" w:rsidP="00DC4E55">
      <w:pPr>
        <w:pStyle w:val="ListParagraph"/>
        <w:numPr>
          <w:ilvl w:val="0"/>
          <w:numId w:val="2"/>
        </w:numPr>
        <w:spacing w:before="100" w:beforeAutospacing="1" w:after="100" w:afterAutospacing="1" w:line="240" w:lineRule="auto"/>
        <w:rPr>
          <w:lang w:val="en-US"/>
        </w:rPr>
      </w:pPr>
      <w:r w:rsidRPr="001C5934">
        <w:rPr>
          <w:lang w:val="en-US"/>
        </w:rPr>
        <w:t>Efficient and effective coor</w:t>
      </w:r>
      <w:r>
        <w:rPr>
          <w:lang w:val="en-US"/>
        </w:rPr>
        <w:t xml:space="preserve">dination </w:t>
      </w:r>
      <w:r w:rsidR="001E22DB">
        <w:rPr>
          <w:lang w:val="en-US"/>
        </w:rPr>
        <w:t xml:space="preserve">across </w:t>
      </w:r>
      <w:r>
        <w:rPr>
          <w:lang w:val="en-US"/>
        </w:rPr>
        <w:t>all levels of government</w:t>
      </w:r>
      <w:r w:rsidR="001E22DB">
        <w:rPr>
          <w:lang w:val="en-US"/>
        </w:rPr>
        <w:t xml:space="preserve"> and the private health sector</w:t>
      </w:r>
      <w:r>
        <w:rPr>
          <w:lang w:val="en-US"/>
        </w:rPr>
        <w:t>.</w:t>
      </w:r>
    </w:p>
    <w:p w:rsidR="00AD242D" w:rsidRDefault="00DC4E55" w:rsidP="001021BD">
      <w:r>
        <w:t xml:space="preserve">It is AHHA’s submission that each of the </w:t>
      </w:r>
      <w:r>
        <w:rPr>
          <w:rFonts w:cs="Arial"/>
        </w:rPr>
        <w:t>key indicators</w:t>
      </w:r>
      <w:r>
        <w:t xml:space="preserve"> of a healthy healthcare system </w:t>
      </w:r>
      <w:r w:rsidR="002213DC">
        <w:t>should be considered in assessing changes to competition policy</w:t>
      </w:r>
      <w:r w:rsidR="002213DC" w:rsidRPr="002213DC">
        <w:t xml:space="preserve"> </w:t>
      </w:r>
      <w:r w:rsidR="00001D81">
        <w:t>within</w:t>
      </w:r>
      <w:r w:rsidR="002213DC">
        <w:t xml:space="preserve"> the health sector.</w:t>
      </w:r>
      <w:r w:rsidR="002213DC">
        <w:rPr>
          <w:rFonts w:cs="Arial"/>
        </w:rPr>
        <w:t xml:space="preserve"> </w:t>
      </w:r>
      <w:r w:rsidR="003D311E">
        <w:t xml:space="preserve">In </w:t>
      </w:r>
      <w:r w:rsidR="002213DC">
        <w:t>this submission</w:t>
      </w:r>
      <w:r w:rsidR="00E7294A">
        <w:t>,</w:t>
      </w:r>
      <w:r w:rsidR="003D311E">
        <w:t xml:space="preserve"> the AHHA highlights </w:t>
      </w:r>
      <w:r w:rsidR="001021BD">
        <w:t>key issues that would impact</w:t>
      </w:r>
      <w:r w:rsidR="003D311E">
        <w:t xml:space="preserve"> </w:t>
      </w:r>
      <w:r w:rsidR="002213DC">
        <w:t>the health sector from this standpoint</w:t>
      </w:r>
      <w:r w:rsidR="001021BD">
        <w:t xml:space="preserve">. </w:t>
      </w:r>
    </w:p>
    <w:p w:rsidR="00120C09" w:rsidRDefault="00120C09" w:rsidP="001021BD">
      <w:r>
        <w:t>The AHHA makes the following recommendations</w:t>
      </w:r>
      <w:bookmarkStart w:id="0" w:name="_GoBack"/>
      <w:bookmarkEnd w:id="0"/>
      <w:r>
        <w:t>:</w:t>
      </w:r>
    </w:p>
    <w:p w:rsidR="00120C09" w:rsidRPr="00AE2D8E" w:rsidRDefault="00120C09" w:rsidP="00120C09">
      <w:pPr>
        <w:pStyle w:val="ListParagraph"/>
        <w:numPr>
          <w:ilvl w:val="0"/>
          <w:numId w:val="34"/>
        </w:numPr>
      </w:pPr>
      <w:r>
        <w:t>Expansion of</w:t>
      </w:r>
      <w:r w:rsidRPr="00AE2D8E">
        <w:t xml:space="preserve"> competition in the health sector </w:t>
      </w:r>
      <w:r>
        <w:t xml:space="preserve">(both for service providers and insurers) </w:t>
      </w:r>
      <w:r w:rsidRPr="00AE2D8E">
        <w:t>must have equity of access</w:t>
      </w:r>
      <w:r>
        <w:t xml:space="preserve"> and affordability</w:t>
      </w:r>
      <w:r w:rsidRPr="00AE2D8E">
        <w:t xml:space="preserve"> as primary performance measure</w:t>
      </w:r>
      <w:r>
        <w:t>s alongside fiscal sustainability.</w:t>
      </w:r>
    </w:p>
    <w:p w:rsidR="00120C09" w:rsidRPr="00AE2D8E" w:rsidRDefault="00120C09" w:rsidP="00120C09">
      <w:pPr>
        <w:pStyle w:val="ListParagraph"/>
        <w:numPr>
          <w:ilvl w:val="0"/>
          <w:numId w:val="34"/>
        </w:numPr>
      </w:pPr>
      <w:r>
        <w:t>S</w:t>
      </w:r>
      <w:r w:rsidRPr="00AE2D8E">
        <w:t>trategies to increase competition must be formulated within the context of the maintenance or enhancement of service quality</w:t>
      </w:r>
      <w:r>
        <w:t>, safety</w:t>
      </w:r>
      <w:r w:rsidRPr="00AE2D8E">
        <w:t xml:space="preserve"> and value for money</w:t>
      </w:r>
      <w:r>
        <w:t>.</w:t>
      </w:r>
    </w:p>
    <w:p w:rsidR="00120C09" w:rsidRPr="00AE2D8E" w:rsidRDefault="00120C09" w:rsidP="00120C09">
      <w:pPr>
        <w:pStyle w:val="ListParagraph"/>
        <w:numPr>
          <w:ilvl w:val="0"/>
          <w:numId w:val="34"/>
        </w:numPr>
      </w:pPr>
      <w:r w:rsidRPr="00AE2D8E">
        <w:t xml:space="preserve">The implications of greater </w:t>
      </w:r>
      <w:r>
        <w:t>competition</w:t>
      </w:r>
      <w:r w:rsidRPr="00AE2D8E">
        <w:t xml:space="preserve"> must be considered for area</w:t>
      </w:r>
      <w:r>
        <w:t>s</w:t>
      </w:r>
      <w:r w:rsidRPr="00AE2D8E">
        <w:t xml:space="preserve"> of current or potential market failure</w:t>
      </w:r>
      <w:r>
        <w:t>.</w:t>
      </w:r>
    </w:p>
    <w:p w:rsidR="00120C09" w:rsidRDefault="00120C09" w:rsidP="00120C09">
      <w:pPr>
        <w:pStyle w:val="ListParagraph"/>
        <w:numPr>
          <w:ilvl w:val="0"/>
          <w:numId w:val="34"/>
        </w:numPr>
      </w:pPr>
      <w:r w:rsidRPr="00AE2D8E">
        <w:lastRenderedPageBreak/>
        <w:t>Strategies must be developed that consider the whole patient journey rather than focusing on simple episodic components of care</w:t>
      </w:r>
      <w:r>
        <w:t>, or individual system components.</w:t>
      </w:r>
    </w:p>
    <w:p w:rsidR="00120C09" w:rsidRDefault="00120C09" w:rsidP="00120C09">
      <w:pPr>
        <w:pStyle w:val="ListParagraph"/>
        <w:numPr>
          <w:ilvl w:val="0"/>
          <w:numId w:val="34"/>
        </w:numPr>
      </w:pPr>
      <w:r>
        <w:t>Increasing the availability of health service and provider outcome data should be a priority to improve consumer choice and facilitate better understanding about the efficiency and effectiveness of the health system.</w:t>
      </w:r>
    </w:p>
    <w:p w:rsidR="00120C09" w:rsidRDefault="00120C09" w:rsidP="001021BD"/>
    <w:p w:rsidR="00AA079E" w:rsidRDefault="003D311E" w:rsidP="001021BD">
      <w:r>
        <w:t xml:space="preserve">We welcome the opportunity to discuss these issues in greater detail at </w:t>
      </w:r>
      <w:r w:rsidR="002213DC">
        <w:t>any public hearing</w:t>
      </w:r>
      <w:r>
        <w:t>.</w:t>
      </w:r>
    </w:p>
    <w:p w:rsidR="00E731F4" w:rsidRPr="002213DC" w:rsidRDefault="00E731F4" w:rsidP="001021BD">
      <w:pPr>
        <w:rPr>
          <w:rFonts w:cs="Arial"/>
        </w:rPr>
      </w:pPr>
    </w:p>
    <w:p w:rsidR="00AD242D" w:rsidRDefault="00AD242D">
      <w:pPr>
        <w:rPr>
          <w:rFonts w:eastAsiaTheme="majorEastAsia" w:cstheme="minorHAnsi"/>
          <w:b/>
          <w:bCs/>
          <w:color w:val="4F81BD" w:themeColor="accent1"/>
          <w:sz w:val="26"/>
          <w:szCs w:val="26"/>
        </w:rPr>
      </w:pPr>
      <w:r>
        <w:rPr>
          <w:rFonts w:cstheme="minorHAnsi"/>
        </w:rPr>
        <w:br w:type="page"/>
      </w:r>
    </w:p>
    <w:p w:rsidR="001E22DB" w:rsidRDefault="001E22DB" w:rsidP="003C424D">
      <w:pPr>
        <w:pStyle w:val="Heading2"/>
        <w:spacing w:before="0" w:after="120"/>
        <w:rPr>
          <w:rFonts w:asciiTheme="minorHAnsi" w:hAnsiTheme="minorHAnsi" w:cstheme="minorHAnsi"/>
        </w:rPr>
      </w:pPr>
    </w:p>
    <w:p w:rsidR="000B63E3" w:rsidRPr="00CC62E3" w:rsidRDefault="000B63E3" w:rsidP="003C424D">
      <w:pPr>
        <w:pStyle w:val="Heading2"/>
        <w:spacing w:before="0" w:after="120"/>
        <w:rPr>
          <w:rFonts w:asciiTheme="minorHAnsi" w:hAnsiTheme="minorHAnsi" w:cstheme="minorHAnsi"/>
        </w:rPr>
      </w:pPr>
      <w:r w:rsidRPr="00CC62E3">
        <w:rPr>
          <w:rFonts w:asciiTheme="minorHAnsi" w:hAnsiTheme="minorHAnsi" w:cstheme="minorHAnsi"/>
        </w:rPr>
        <w:t>Would there be a net public benefit in encouraging greater competition and choice in sectors with substantial government participation (including education, health and disability care and support)?</w:t>
      </w:r>
    </w:p>
    <w:p w:rsidR="00AA7343" w:rsidRDefault="00AA7343" w:rsidP="00AA7343">
      <w:r>
        <w:t xml:space="preserve">For many sectors, it is argued that competition drives efficiency and innovation. While competition </w:t>
      </w:r>
      <w:r w:rsidR="00265D0C">
        <w:t xml:space="preserve">already </w:t>
      </w:r>
      <w:r>
        <w:t>exists in certain areas of the Australian healthcare system</w:t>
      </w:r>
      <w:r w:rsidR="00265D0C">
        <w:t xml:space="preserve"> – for example, among general practitioners working in private practice, and between public and private hospitals for workforce and elective surgery – the notion of expanding</w:t>
      </w:r>
      <w:r>
        <w:t xml:space="preserve"> competition is contentious</w:t>
      </w:r>
      <w:r w:rsidR="00265D0C">
        <w:t>. One of the</w:t>
      </w:r>
      <w:r>
        <w:t xml:space="preserve"> </w:t>
      </w:r>
      <w:r w:rsidR="00265D0C">
        <w:t xml:space="preserve">main concerns is that there </w:t>
      </w:r>
      <w:r>
        <w:t xml:space="preserve">are many areas of demonstrated market failure </w:t>
      </w:r>
      <w:r w:rsidR="00265D0C">
        <w:t>in health care, which make</w:t>
      </w:r>
      <w:r w:rsidR="00CF7D53">
        <w:t>s</w:t>
      </w:r>
      <w:r w:rsidR="00265D0C">
        <w:t xml:space="preserve"> it difficult to apply competition principles. </w:t>
      </w:r>
    </w:p>
    <w:p w:rsidR="00AA7343" w:rsidRDefault="00AA7343" w:rsidP="00AA7343">
      <w:r>
        <w:t xml:space="preserve">AHHA’s view is that policymakers must accept and acknowledge the differences between the health </w:t>
      </w:r>
      <w:r w:rsidR="00CF7D53">
        <w:t xml:space="preserve">sector </w:t>
      </w:r>
      <w:r>
        <w:t>and other sectors in seeking to design and implement effective competition policies.</w:t>
      </w:r>
      <w:r w:rsidR="00CF7D53">
        <w:t xml:space="preserve"> While this does not preclude greater use of competition in health care, serious consideration needs to be given to the implications for service delivery and patient care</w:t>
      </w:r>
      <w:r w:rsidR="0005423A">
        <w:t xml:space="preserve">, in terms of </w:t>
      </w:r>
      <w:r w:rsidR="000E43DB">
        <w:t>efficiency,</w:t>
      </w:r>
      <w:r w:rsidR="00CF7D53">
        <w:t xml:space="preserve"> </w:t>
      </w:r>
      <w:r w:rsidR="000E43DB">
        <w:t xml:space="preserve">quality and equitable access to care. </w:t>
      </w:r>
    </w:p>
    <w:p w:rsidR="00AA7343" w:rsidRDefault="000E43DB" w:rsidP="00CC62E3">
      <w:pPr>
        <w:autoSpaceDE w:val="0"/>
        <w:autoSpaceDN w:val="0"/>
        <w:adjustRightInd w:val="0"/>
        <w:spacing w:line="240" w:lineRule="auto"/>
        <w:jc w:val="both"/>
        <w:rPr>
          <w:rFonts w:cs="Arial"/>
        </w:rPr>
      </w:pPr>
      <w:r>
        <w:rPr>
          <w:rFonts w:cs="Arial"/>
        </w:rPr>
        <w:t xml:space="preserve">Evaluating the impact of any reforms on access to care is not straightforward. </w:t>
      </w:r>
      <w:r w:rsidR="00CC62E3">
        <w:rPr>
          <w:rFonts w:cs="Arial"/>
        </w:rPr>
        <w:t>Access depends on</w:t>
      </w:r>
      <w:r>
        <w:rPr>
          <w:rFonts w:cs="Arial"/>
        </w:rPr>
        <w:t xml:space="preserve"> a range of factors, including</w:t>
      </w:r>
      <w:r w:rsidR="00CC62E3">
        <w:rPr>
          <w:rFonts w:cs="Arial"/>
        </w:rPr>
        <w:t xml:space="preserve"> people’s need for services</w:t>
      </w:r>
      <w:r>
        <w:rPr>
          <w:rFonts w:cs="Arial"/>
        </w:rPr>
        <w:t>;</w:t>
      </w:r>
      <w:r w:rsidR="00CC62E3">
        <w:rPr>
          <w:rFonts w:cs="Arial"/>
        </w:rPr>
        <w:t xml:space="preserve"> whether or not they recognise or can act on that need; the actual demand for services, regardless of the level of need; and the supply of services. </w:t>
      </w:r>
    </w:p>
    <w:p w:rsidR="00CC62E3" w:rsidRPr="007804EC" w:rsidRDefault="00CC62E3" w:rsidP="003C424D">
      <w:pPr>
        <w:spacing w:after="0"/>
        <w:rPr>
          <w:rFonts w:cs="Arial"/>
        </w:rPr>
      </w:pPr>
      <w:r>
        <w:t>P</w:t>
      </w:r>
      <w:r w:rsidRPr="005C7ED4">
        <w:t>eople need to be able to</w:t>
      </w:r>
      <w:r>
        <w:t>:</w:t>
      </w:r>
    </w:p>
    <w:p w:rsidR="00CC62E3" w:rsidRPr="00CC62E3" w:rsidRDefault="00CC62E3" w:rsidP="00CC62E3">
      <w:pPr>
        <w:pStyle w:val="ListBullet"/>
        <w:ind w:left="426" w:hanging="219"/>
        <w:rPr>
          <w:rFonts w:cs="Arial"/>
        </w:rPr>
      </w:pPr>
      <w:r w:rsidRPr="008C353E">
        <w:rPr>
          <w:b/>
        </w:rPr>
        <w:t>perceive their need for service</w:t>
      </w:r>
    </w:p>
    <w:p w:rsidR="00CC62E3" w:rsidRPr="005C7ED4" w:rsidRDefault="00CC62E3" w:rsidP="00AA7343">
      <w:pPr>
        <w:pStyle w:val="ListBullet"/>
        <w:numPr>
          <w:ilvl w:val="4"/>
          <w:numId w:val="1"/>
        </w:numPr>
        <w:ind w:left="709" w:hanging="196"/>
        <w:rPr>
          <w:rFonts w:cs="Arial"/>
        </w:rPr>
      </w:pPr>
      <w:r w:rsidRPr="005C7ED4">
        <w:t xml:space="preserve">this </w:t>
      </w:r>
      <w:r>
        <w:t xml:space="preserve">depends on their </w:t>
      </w:r>
      <w:r w:rsidRPr="005C7ED4">
        <w:t>health literacy</w:t>
      </w:r>
      <w:r>
        <w:t xml:space="preserve">, </w:t>
      </w:r>
      <w:r w:rsidRPr="00CC62E3">
        <w:t>health beliefs, trust, and expectations</w:t>
      </w:r>
    </w:p>
    <w:p w:rsidR="00CC62E3" w:rsidRPr="00AA7343" w:rsidRDefault="00CC62E3" w:rsidP="00AA7343">
      <w:pPr>
        <w:pStyle w:val="ListBullet"/>
        <w:ind w:left="426" w:hanging="219"/>
        <w:rPr>
          <w:b/>
        </w:rPr>
      </w:pPr>
      <w:r>
        <w:rPr>
          <w:b/>
        </w:rPr>
        <w:t xml:space="preserve">seek the service they need </w:t>
      </w:r>
    </w:p>
    <w:p w:rsidR="00CC62E3" w:rsidRPr="008C353E" w:rsidRDefault="00CC62E3" w:rsidP="00AA7343">
      <w:pPr>
        <w:pStyle w:val="ListBullet"/>
        <w:numPr>
          <w:ilvl w:val="4"/>
          <w:numId w:val="1"/>
        </w:numPr>
        <w:ind w:left="709" w:hanging="196"/>
      </w:pPr>
      <w:r w:rsidRPr="008C353E">
        <w:t xml:space="preserve">this </w:t>
      </w:r>
      <w:r>
        <w:t xml:space="preserve">depends on their </w:t>
      </w:r>
      <w:r w:rsidRPr="008C353E">
        <w:t>personal and social values, culture and gender, and autonomy</w:t>
      </w:r>
    </w:p>
    <w:p w:rsidR="00CC62E3" w:rsidRDefault="00CC62E3" w:rsidP="00AA7343">
      <w:pPr>
        <w:pStyle w:val="ListBullet"/>
        <w:ind w:left="426" w:hanging="219"/>
      </w:pPr>
      <w:r w:rsidRPr="00743FFC">
        <w:rPr>
          <w:b/>
        </w:rPr>
        <w:t xml:space="preserve">reach </w:t>
      </w:r>
      <w:r>
        <w:rPr>
          <w:b/>
        </w:rPr>
        <w:t>the ser</w:t>
      </w:r>
      <w:r w:rsidRPr="00743FFC">
        <w:rPr>
          <w:b/>
        </w:rPr>
        <w:t>vice</w:t>
      </w:r>
    </w:p>
    <w:p w:rsidR="00CC62E3" w:rsidRPr="00743FFC" w:rsidRDefault="00CC62E3" w:rsidP="00AA7343">
      <w:pPr>
        <w:pStyle w:val="ListBullet"/>
        <w:numPr>
          <w:ilvl w:val="4"/>
          <w:numId w:val="1"/>
        </w:numPr>
        <w:ind w:left="709" w:hanging="196"/>
      </w:pPr>
      <w:r w:rsidRPr="00743FFC">
        <w:t xml:space="preserve">this depends on their living environment, available transport, </w:t>
      </w:r>
      <w:r>
        <w:t xml:space="preserve">and </w:t>
      </w:r>
      <w:r w:rsidRPr="00743FFC">
        <w:t>their mobility and social support</w:t>
      </w:r>
    </w:p>
    <w:p w:rsidR="00CC62E3" w:rsidRPr="00AA7343" w:rsidRDefault="00CC62E3" w:rsidP="00AA7343">
      <w:pPr>
        <w:pStyle w:val="ListBullet"/>
        <w:ind w:left="426" w:hanging="219"/>
        <w:rPr>
          <w:b/>
        </w:rPr>
      </w:pPr>
      <w:r w:rsidRPr="00743FFC">
        <w:rPr>
          <w:b/>
        </w:rPr>
        <w:t>pay for the service</w:t>
      </w:r>
    </w:p>
    <w:p w:rsidR="00CC62E3" w:rsidRPr="00743FFC" w:rsidRDefault="00CC62E3" w:rsidP="00AA7343">
      <w:pPr>
        <w:pStyle w:val="ListBullet"/>
        <w:numPr>
          <w:ilvl w:val="4"/>
          <w:numId w:val="1"/>
        </w:numPr>
        <w:ind w:left="709" w:hanging="196"/>
      </w:pPr>
      <w:r w:rsidRPr="00743FFC">
        <w:t xml:space="preserve"> this depends on income, assets, social capital and health insurance</w:t>
      </w:r>
    </w:p>
    <w:p w:rsidR="00CC62E3" w:rsidRPr="00AA7343" w:rsidRDefault="00CC62E3" w:rsidP="00AA7343">
      <w:pPr>
        <w:pStyle w:val="ListBullet"/>
        <w:ind w:left="426" w:hanging="219"/>
        <w:rPr>
          <w:b/>
        </w:rPr>
      </w:pPr>
      <w:r w:rsidRPr="00743FFC">
        <w:rPr>
          <w:b/>
        </w:rPr>
        <w:t>engage effectively with the service</w:t>
      </w:r>
    </w:p>
    <w:p w:rsidR="00CC62E3" w:rsidRDefault="00CC62E3" w:rsidP="00AA7343">
      <w:pPr>
        <w:pStyle w:val="ListBullet"/>
        <w:numPr>
          <w:ilvl w:val="4"/>
          <w:numId w:val="1"/>
        </w:numPr>
        <w:ind w:left="709" w:hanging="196"/>
      </w:pPr>
      <w:proofErr w:type="gramStart"/>
      <w:r w:rsidRPr="00743FFC">
        <w:t>this</w:t>
      </w:r>
      <w:proofErr w:type="gramEnd"/>
      <w:r w:rsidRPr="00743FFC">
        <w:t xml:space="preserve"> depends on having sufficient confidence and information, a common language</w:t>
      </w:r>
      <w:r>
        <w:t xml:space="preserve"> and cultural values</w:t>
      </w:r>
      <w:r w:rsidRPr="00743FFC">
        <w:t>, and where relevant, caregiver support</w:t>
      </w:r>
      <w:r>
        <w:t>.</w:t>
      </w:r>
    </w:p>
    <w:p w:rsidR="00CC62E3" w:rsidRPr="00743FFC" w:rsidRDefault="00292D1F" w:rsidP="003C424D">
      <w:pPr>
        <w:spacing w:after="0"/>
      </w:pPr>
      <w:r>
        <w:t>Accessible health care also requires services</w:t>
      </w:r>
      <w:r w:rsidR="00CC62E3">
        <w:t xml:space="preserve"> to be:</w:t>
      </w:r>
    </w:p>
    <w:p w:rsidR="00CC62E3" w:rsidRPr="00CC62E3" w:rsidRDefault="00CC62E3" w:rsidP="00AA7343">
      <w:pPr>
        <w:pStyle w:val="ListBullet"/>
        <w:ind w:left="426" w:hanging="219"/>
      </w:pPr>
      <w:r>
        <w:rPr>
          <w:b/>
        </w:rPr>
        <w:t>approachable</w:t>
      </w:r>
    </w:p>
    <w:p w:rsidR="00CC62E3" w:rsidRPr="00743FFC" w:rsidRDefault="00CC62E3" w:rsidP="00AA7343">
      <w:pPr>
        <w:pStyle w:val="ListBullet"/>
        <w:numPr>
          <w:ilvl w:val="4"/>
          <w:numId w:val="1"/>
        </w:numPr>
        <w:ind w:left="709" w:hanging="196"/>
      </w:pPr>
      <w:r w:rsidRPr="00743FFC">
        <w:t>this requires transparency, outreach</w:t>
      </w:r>
      <w:r>
        <w:t xml:space="preserve"> and</w:t>
      </w:r>
      <w:r w:rsidRPr="00743FFC">
        <w:t xml:space="preserve"> provision of information</w:t>
      </w:r>
    </w:p>
    <w:p w:rsidR="00CC62E3" w:rsidRPr="00AA7343" w:rsidRDefault="00CC62E3" w:rsidP="00AA7343">
      <w:pPr>
        <w:pStyle w:val="ListBullet"/>
        <w:ind w:left="426" w:hanging="219"/>
        <w:rPr>
          <w:b/>
        </w:rPr>
      </w:pPr>
      <w:r w:rsidRPr="00743FFC">
        <w:rPr>
          <w:b/>
        </w:rPr>
        <w:t>acceptable</w:t>
      </w:r>
    </w:p>
    <w:p w:rsidR="00CC62E3" w:rsidRPr="00743FFC" w:rsidRDefault="00CC62E3" w:rsidP="00AA7343">
      <w:pPr>
        <w:pStyle w:val="ListBullet"/>
        <w:numPr>
          <w:ilvl w:val="4"/>
          <w:numId w:val="1"/>
        </w:numPr>
        <w:ind w:left="709" w:hanging="196"/>
      </w:pPr>
      <w:r>
        <w:t xml:space="preserve">this is influenced by </w:t>
      </w:r>
      <w:r w:rsidRPr="00743FFC">
        <w:t>professional values</w:t>
      </w:r>
      <w:r>
        <w:t xml:space="preserve"> and norms, and the culture and gender of the service provider</w:t>
      </w:r>
    </w:p>
    <w:p w:rsidR="00CC62E3" w:rsidRPr="00AA7343" w:rsidRDefault="00CC62E3" w:rsidP="00AA7343">
      <w:pPr>
        <w:pStyle w:val="ListBullet"/>
        <w:ind w:left="426" w:hanging="219"/>
        <w:rPr>
          <w:b/>
        </w:rPr>
      </w:pPr>
      <w:r>
        <w:rPr>
          <w:b/>
        </w:rPr>
        <w:t>available</w:t>
      </w:r>
    </w:p>
    <w:p w:rsidR="00CC62E3" w:rsidRPr="00743FFC" w:rsidRDefault="00CC62E3" w:rsidP="00AA7343">
      <w:pPr>
        <w:pStyle w:val="ListBullet"/>
        <w:numPr>
          <w:ilvl w:val="4"/>
          <w:numId w:val="1"/>
        </w:numPr>
        <w:ind w:left="709" w:hanging="196"/>
      </w:pPr>
      <w:r>
        <w:t xml:space="preserve">this is influenced by </w:t>
      </w:r>
      <w:r w:rsidR="00D72D2A">
        <w:t xml:space="preserve">supply and </w:t>
      </w:r>
      <w:r w:rsidRPr="00743FFC">
        <w:t>geographic location, availability of accommodation, opening hours and appointment mechanisms</w:t>
      </w:r>
    </w:p>
    <w:p w:rsidR="00CC62E3" w:rsidRPr="00AA7343" w:rsidRDefault="00CC62E3" w:rsidP="00AA7343">
      <w:pPr>
        <w:pStyle w:val="ListBullet"/>
        <w:ind w:left="426" w:hanging="219"/>
        <w:rPr>
          <w:b/>
        </w:rPr>
      </w:pPr>
      <w:r>
        <w:rPr>
          <w:b/>
        </w:rPr>
        <w:lastRenderedPageBreak/>
        <w:t>affordable</w:t>
      </w:r>
    </w:p>
    <w:p w:rsidR="00CC62E3" w:rsidRPr="00743FFC" w:rsidRDefault="00CC62E3" w:rsidP="00AA7343">
      <w:pPr>
        <w:pStyle w:val="ListBullet"/>
        <w:numPr>
          <w:ilvl w:val="4"/>
          <w:numId w:val="1"/>
        </w:numPr>
        <w:ind w:left="709" w:hanging="196"/>
      </w:pPr>
      <w:r w:rsidRPr="00AA7343">
        <w:t xml:space="preserve">this </w:t>
      </w:r>
      <w:r w:rsidRPr="00743FFC">
        <w:t>is influenced by direct, indirect and opportunity costs</w:t>
      </w:r>
    </w:p>
    <w:p w:rsidR="00CC62E3" w:rsidRPr="00AA7343" w:rsidRDefault="00CC62E3" w:rsidP="00AA7343">
      <w:pPr>
        <w:pStyle w:val="ListBullet"/>
        <w:ind w:left="426" w:hanging="219"/>
        <w:rPr>
          <w:b/>
        </w:rPr>
      </w:pPr>
      <w:r>
        <w:rPr>
          <w:b/>
        </w:rPr>
        <w:t>appropriate</w:t>
      </w:r>
    </w:p>
    <w:p w:rsidR="00CC62E3" w:rsidRDefault="00CC62E3" w:rsidP="00AA7343">
      <w:pPr>
        <w:pStyle w:val="ListBullet"/>
        <w:numPr>
          <w:ilvl w:val="4"/>
          <w:numId w:val="1"/>
        </w:numPr>
        <w:ind w:left="709" w:hanging="196"/>
      </w:pPr>
      <w:proofErr w:type="gramStart"/>
      <w:r>
        <w:t>this</w:t>
      </w:r>
      <w:proofErr w:type="gramEnd"/>
      <w:r>
        <w:t xml:space="preserve"> is influenced by </w:t>
      </w:r>
      <w:r w:rsidRPr="00743FFC">
        <w:t>technical and interpersonal quality, coordination</w:t>
      </w:r>
      <w:r>
        <w:t xml:space="preserve">, and </w:t>
      </w:r>
      <w:r w:rsidRPr="00743FFC">
        <w:t>continuity</w:t>
      </w:r>
      <w:r>
        <w:t xml:space="preserve"> of service provision.</w:t>
      </w:r>
    </w:p>
    <w:p w:rsidR="000B63E3" w:rsidRDefault="00EB73F3" w:rsidP="000B63E3">
      <w:r>
        <w:t>G</w:t>
      </w:r>
      <w:r w:rsidR="00D72D2A">
        <w:t xml:space="preserve">overnments </w:t>
      </w:r>
      <w:r>
        <w:t xml:space="preserve">in Australia </w:t>
      </w:r>
      <w:r w:rsidR="00D72D2A">
        <w:t xml:space="preserve">have always had a strong role in financing and delivering health services. While the role of the private sector has grown over time, </w:t>
      </w:r>
      <w:r w:rsidR="000B63E3">
        <w:t xml:space="preserve">Commonwealth, State and Territory governments have </w:t>
      </w:r>
      <w:r w:rsidR="00D72D2A">
        <w:t xml:space="preserve">continued to </w:t>
      </w:r>
      <w:r w:rsidR="00342D18">
        <w:t xml:space="preserve">fund and deliver many </w:t>
      </w:r>
      <w:r w:rsidR="000B63E3">
        <w:t>health</w:t>
      </w:r>
      <w:r w:rsidR="001E22DB">
        <w:t xml:space="preserve"> and hospital services</w:t>
      </w:r>
      <w:r w:rsidR="00427BC4">
        <w:t xml:space="preserve">. One reason for this is </w:t>
      </w:r>
      <w:r w:rsidR="00820B85">
        <w:t xml:space="preserve">the limited capacity </w:t>
      </w:r>
      <w:r w:rsidR="001E22DB">
        <w:t>and/</w:t>
      </w:r>
      <w:r w:rsidR="00820B85">
        <w:t>or willingness of the private sector to fully respond to consumer needs and wants</w:t>
      </w:r>
      <w:r w:rsidR="001E22DB">
        <w:t xml:space="preserve">, across the full spectrum of health requirements, across </w:t>
      </w:r>
      <w:r w:rsidR="007E2823">
        <w:t>all geographic locations, and at pricing which meets goals related to equity of access and affordability</w:t>
      </w:r>
      <w:r w:rsidR="00820B85">
        <w:t>.</w:t>
      </w:r>
    </w:p>
    <w:p w:rsidR="000B63E3" w:rsidRPr="00BA2ABA" w:rsidRDefault="00EB73F3" w:rsidP="000B63E3">
      <w:r>
        <w:t xml:space="preserve">Because governments have </w:t>
      </w:r>
      <w:r w:rsidRPr="00683A10">
        <w:t xml:space="preserve">traditionally </w:t>
      </w:r>
      <w:r>
        <w:t xml:space="preserve">played such a substantial role in health care, they have had a major influence on the types of services provided, the quantum of funding provided for them, and service delivery arrangements, including determining whether services are provided </w:t>
      </w:r>
      <w:r w:rsidR="00427BC4">
        <w:t xml:space="preserve">by </w:t>
      </w:r>
      <w:r w:rsidR="000B63E3" w:rsidRPr="00BA2ABA">
        <w:t>government agenc</w:t>
      </w:r>
      <w:r>
        <w:t>ies</w:t>
      </w:r>
      <w:r w:rsidR="000B63E3" w:rsidRPr="00BA2ABA">
        <w:t>, private business, or not-for-profit organisation</w:t>
      </w:r>
      <w:r>
        <w:t>s</w:t>
      </w:r>
      <w:r w:rsidR="000B63E3" w:rsidRPr="00BA2ABA">
        <w:t xml:space="preserve">. </w:t>
      </w:r>
    </w:p>
    <w:p w:rsidR="000B63E3" w:rsidRDefault="00003D66" w:rsidP="007C53A9">
      <w:r>
        <w:t>However</w:t>
      </w:r>
      <w:r w:rsidR="00292D1F">
        <w:t>,</w:t>
      </w:r>
      <w:r>
        <w:t xml:space="preserve"> as the role of the private sector has expanded over time, health care financing and deliver</w:t>
      </w:r>
      <w:r w:rsidR="007C53A9">
        <w:t>y</w:t>
      </w:r>
      <w:r>
        <w:t xml:space="preserve"> arrangements in Australia have become </w:t>
      </w:r>
      <w:r w:rsidR="000B63E3" w:rsidRPr="00BA2ABA">
        <w:t>suboptimal</w:t>
      </w:r>
      <w:r w:rsidR="007F0F30">
        <w:t xml:space="preserve">, </w:t>
      </w:r>
      <w:r w:rsidR="0005423A">
        <w:t>in part</w:t>
      </w:r>
      <w:r w:rsidR="007F0F30">
        <w:t xml:space="preserve"> because this shift from public to private sector financing and delivery has not been well thought through</w:t>
      </w:r>
      <w:r w:rsidR="00D257DD">
        <w:t xml:space="preserve">. </w:t>
      </w:r>
      <w:r w:rsidR="007F0F30">
        <w:t xml:space="preserve">In many areas of health care, services are now funded and delivered by </w:t>
      </w:r>
      <w:r w:rsidR="00CE698E">
        <w:t xml:space="preserve">both </w:t>
      </w:r>
      <w:r w:rsidR="007F0F30">
        <w:t>the public and private sectors</w:t>
      </w:r>
      <w:r w:rsidR="00CE698E">
        <w:t xml:space="preserve">: for example, hospital services, primary health care and dental services. </w:t>
      </w:r>
      <w:r w:rsidR="00956CF9">
        <w:t>This is not problematic in itself, but it can become so if it means some people</w:t>
      </w:r>
      <w:r w:rsidR="0005423A">
        <w:t>, for example, those with private health insurance,</w:t>
      </w:r>
      <w:r w:rsidR="00956CF9">
        <w:t xml:space="preserve"> have preferential access to basic health care services. </w:t>
      </w:r>
    </w:p>
    <w:p w:rsidR="00BA2ABA" w:rsidRDefault="0048438A" w:rsidP="000B63E3">
      <w:r>
        <w:t>One way of rationalising and clarifying the roles of the public and private sectors in health is to have public and private insurers compete on equal footing for members, and public and private providers compete for patients. However a</w:t>
      </w:r>
      <w:r w:rsidR="000B63E3">
        <w:t xml:space="preserve"> 2012 report on access, quality and affordability in healthcare from the John Hopkins University found that too much competition without coordination and cooperation will fail, and that free competition </w:t>
      </w:r>
      <w:r w:rsidR="00464B71">
        <w:t>is ineffective</w:t>
      </w:r>
      <w:r w:rsidR="000B63E3">
        <w:t xml:space="preserve"> in healthcare</w:t>
      </w:r>
      <w:r w:rsidR="00F46343">
        <w:t xml:space="preserve">, leading </w:t>
      </w:r>
      <w:r w:rsidR="00792517">
        <w:t>to market failure and fragmentation</w:t>
      </w:r>
      <w:r w:rsidR="00464B71">
        <w:t>, evidenced through spiralling insurance premiums, restricted access to care and negative quality impacts, particularly where activity, not quality, is rewarded</w:t>
      </w:r>
      <w:r w:rsidR="000B63E3">
        <w:t>.</w:t>
      </w:r>
      <w:r w:rsidR="000B63E3">
        <w:rPr>
          <w:rStyle w:val="FootnoteReference"/>
        </w:rPr>
        <w:footnoteReference w:id="1"/>
      </w:r>
    </w:p>
    <w:p w:rsidR="003C424D" w:rsidRDefault="000B63E3" w:rsidP="000B63E3">
      <w:r w:rsidRPr="007804EC">
        <w:t xml:space="preserve">Governments need to find ways of slowing the growth in health care expenditure without adversely affecting health </w:t>
      </w:r>
      <w:r w:rsidR="00AE2D8E" w:rsidRPr="007804EC">
        <w:t>outcomes</w:t>
      </w:r>
      <w:r w:rsidR="007E2823">
        <w:t>,</w:t>
      </w:r>
      <w:r w:rsidR="007E2823" w:rsidRPr="007804EC">
        <w:t xml:space="preserve"> </w:t>
      </w:r>
      <w:r w:rsidRPr="007804EC">
        <w:t xml:space="preserve">particularly </w:t>
      </w:r>
      <w:r w:rsidR="007E2823">
        <w:t>in a society with an ageing population and a growing burden of chronic disease</w:t>
      </w:r>
      <w:r w:rsidR="0005423A">
        <w:t>,</w:t>
      </w:r>
      <w:r>
        <w:t xml:space="preserve"> </w:t>
      </w:r>
      <w:r w:rsidR="007E2823">
        <w:t xml:space="preserve">– but increased </w:t>
      </w:r>
      <w:r>
        <w:t xml:space="preserve">competition is not </w:t>
      </w:r>
      <w:r w:rsidR="00C43669">
        <w:t xml:space="preserve">a </w:t>
      </w:r>
      <w:r>
        <w:t>panacea</w:t>
      </w:r>
      <w:r w:rsidRPr="007804EC">
        <w:t>. </w:t>
      </w:r>
      <w:r w:rsidR="00A9030D">
        <w:t xml:space="preserve">While there is a role for competition in health care, it must be </w:t>
      </w:r>
      <w:r w:rsidR="00C43669">
        <w:t xml:space="preserve">considered alongside </w:t>
      </w:r>
      <w:r w:rsidR="00A9030D">
        <w:t>other options. Using</w:t>
      </w:r>
      <w:r>
        <w:t xml:space="preserve"> appropriately targeted regulation and acting on evidence based policy in many areas of the system would </w:t>
      </w:r>
      <w:r w:rsidR="00A9030D">
        <w:t xml:space="preserve">also </w:t>
      </w:r>
      <w:r w:rsidR="007E2823">
        <w:t>drive significant savings and contribute to public benefit</w:t>
      </w:r>
      <w:r>
        <w:t>.</w:t>
      </w:r>
      <w:r w:rsidR="00BA2ABA">
        <w:t xml:space="preserve"> </w:t>
      </w:r>
      <w:r w:rsidR="00C43669">
        <w:t xml:space="preserve">For example, considerable cost savings could be achieved in areas such as medical services simply by making sure fees reflect the underlying cost of service delivery, or are more closely aligned with patient outcomes.  </w:t>
      </w:r>
    </w:p>
    <w:p w:rsidR="000B63E3" w:rsidRDefault="00A3578E" w:rsidP="000B63E3">
      <w:r>
        <w:lastRenderedPageBreak/>
        <w:t>In seeking to control health expenditure, g</w:t>
      </w:r>
      <w:r w:rsidR="000B63E3" w:rsidRPr="007804EC">
        <w:t xml:space="preserve">overnments need to </w:t>
      </w:r>
      <w:r w:rsidR="00B57BC7">
        <w:t xml:space="preserve">be able to influence health care providers, many of whom </w:t>
      </w:r>
      <w:r w:rsidR="00B57BC7" w:rsidRPr="007804EC">
        <w:t>operate in the private sector beyond the direct control of governments.</w:t>
      </w:r>
      <w:r w:rsidR="00B57BC7" w:rsidRPr="007804EC">
        <w:rPr>
          <w:vertAlign w:val="superscript"/>
        </w:rPr>
        <w:footnoteReference w:id="2"/>
      </w:r>
      <w:r w:rsidR="00B57BC7" w:rsidRPr="007804EC">
        <w:t xml:space="preserve"> </w:t>
      </w:r>
      <w:r w:rsidR="00B57BC7">
        <w:t xml:space="preserve"> </w:t>
      </w:r>
      <w:r w:rsidR="000B63E3" w:rsidRPr="007804EC">
        <w:t>This can be difficult</w:t>
      </w:r>
      <w:r w:rsidR="00B57BC7">
        <w:t xml:space="preserve">, but governments do have some tools for influencing fees and prices in the private sector. </w:t>
      </w:r>
      <w:r w:rsidR="000B63E3" w:rsidRPr="007804EC">
        <w:t xml:space="preserve"> </w:t>
      </w:r>
      <w:r w:rsidR="00B57BC7">
        <w:t>Because t</w:t>
      </w:r>
      <w:r w:rsidR="003C424D">
        <w:t xml:space="preserve">he Medical Benefits </w:t>
      </w:r>
      <w:r w:rsidR="00B57BC7">
        <w:t xml:space="preserve">Scheme </w:t>
      </w:r>
      <w:r w:rsidR="00F46343">
        <w:t>(MBS)</w:t>
      </w:r>
      <w:r w:rsidR="003C424D">
        <w:t xml:space="preserve"> and the Pharmaceuticals Benefit </w:t>
      </w:r>
      <w:r w:rsidR="00B57BC7">
        <w:t xml:space="preserve">Scheme </w:t>
      </w:r>
      <w:r w:rsidR="00F46343">
        <w:t>(PBS)</w:t>
      </w:r>
      <w:r w:rsidR="003C424D">
        <w:t xml:space="preserve"> </w:t>
      </w:r>
      <w:r w:rsidR="00B57BC7">
        <w:t xml:space="preserve">are publicly funded, governments are able to exert influence on prices by adjusting rebates or subsidies.  </w:t>
      </w:r>
      <w:r w:rsidR="003C424D">
        <w:t>Additionally the MBS and PBS can be used to incentivise best</w:t>
      </w:r>
      <w:r w:rsidR="00BA2ABA">
        <w:t xml:space="preserve"> </w:t>
      </w:r>
      <w:r w:rsidR="003C424D">
        <w:t>practice and provide disincentives for undesirable practices.</w:t>
      </w:r>
    </w:p>
    <w:p w:rsidR="00BA2ABA" w:rsidRDefault="00B57BC7" w:rsidP="00BA2ABA">
      <w:r>
        <w:t>Governments are also able to influence total expenditure by regulating the supply or distribution of health care providers</w:t>
      </w:r>
      <w:r w:rsidR="00BA2ABA">
        <w:t xml:space="preserve">, for example, through limiting the number of medical schools, the provision of Medicare provider numbers, and the licensing of private hospitals. </w:t>
      </w:r>
    </w:p>
    <w:p w:rsidR="00A27F71" w:rsidRPr="00820B85" w:rsidRDefault="00A27F71" w:rsidP="00BA2ABA">
      <w:pPr>
        <w:rPr>
          <w:rFonts w:eastAsiaTheme="majorEastAsia" w:cstheme="minorHAnsi"/>
          <w:b/>
          <w:bCs/>
          <w:color w:val="4F81BD" w:themeColor="accent1"/>
          <w:sz w:val="26"/>
          <w:szCs w:val="26"/>
        </w:rPr>
      </w:pPr>
      <w:r w:rsidRPr="00820B85">
        <w:rPr>
          <w:rFonts w:eastAsiaTheme="majorEastAsia" w:cstheme="minorHAnsi"/>
          <w:b/>
          <w:bCs/>
          <w:color w:val="4F81BD" w:themeColor="accent1"/>
          <w:sz w:val="26"/>
          <w:szCs w:val="26"/>
        </w:rPr>
        <w:t>Hospitals</w:t>
      </w:r>
    </w:p>
    <w:p w:rsidR="00385047" w:rsidRDefault="00292D1F" w:rsidP="00181537">
      <w:r>
        <w:t>While</w:t>
      </w:r>
      <w:r w:rsidR="009464DF">
        <w:t xml:space="preserve"> t</w:t>
      </w:r>
      <w:r w:rsidR="00CD44BD">
        <w:t>here is some competition between public and private hospitals</w:t>
      </w:r>
      <w:r w:rsidR="00F22B03">
        <w:t>,</w:t>
      </w:r>
      <w:r w:rsidR="00F22B03" w:rsidRPr="00F22B03">
        <w:t xml:space="preserve"> </w:t>
      </w:r>
      <w:r w:rsidR="00AA7343">
        <w:t>caution is required when comparing the</w:t>
      </w:r>
      <w:r>
        <w:t>ir</w:t>
      </w:r>
      <w:r w:rsidR="00AA7343">
        <w:t xml:space="preserve"> services and outputs</w:t>
      </w:r>
      <w:r w:rsidR="00F46343">
        <w:t>.</w:t>
      </w:r>
      <w:r>
        <w:t xml:space="preserve"> </w:t>
      </w:r>
      <w:r w:rsidR="00AA7343">
        <w:t xml:space="preserve">The </w:t>
      </w:r>
      <w:r w:rsidR="00385047">
        <w:t xml:space="preserve">range of services and the </w:t>
      </w:r>
      <w:r w:rsidR="00AA7343">
        <w:t xml:space="preserve">client mix of private hospitals </w:t>
      </w:r>
      <w:r w:rsidR="00BA2ABA">
        <w:t>are</w:t>
      </w:r>
      <w:r w:rsidR="00AA7343">
        <w:t xml:space="preserve"> significantly different </w:t>
      </w:r>
      <w:r w:rsidR="00396953">
        <w:t xml:space="preserve">from </w:t>
      </w:r>
      <w:r w:rsidR="00AA7343">
        <w:t>that of public hospitals</w:t>
      </w:r>
      <w:r w:rsidR="00385047">
        <w:t>.  Emergency departments are less common in private hospitals, and few provide highly specialised treatments, such as transplant and burns services.</w:t>
      </w:r>
      <w:r w:rsidR="00820B85">
        <w:t xml:space="preserve">  </w:t>
      </w:r>
      <w:r w:rsidR="009E0BE2">
        <w:t xml:space="preserve">Additionally, case mix differs significantly across the public and private sectors, with higher proportions of patients with multiple comorbidities and complex conditions being managed in the public sector. </w:t>
      </w:r>
      <w:r w:rsidR="00820B85">
        <w:t>The high cost of care and of the maintenance of specialised equipment</w:t>
      </w:r>
      <w:r w:rsidR="009E0BE2">
        <w:t>,</w:t>
      </w:r>
      <w:r w:rsidR="00820B85">
        <w:t xml:space="preserve"> and the availability of suitably trained and experienced staff limits the viability of these services outside of large specialised public sector facilities.</w:t>
      </w:r>
      <w:r w:rsidR="009E0BE2">
        <w:t xml:space="preserve"> </w:t>
      </w:r>
    </w:p>
    <w:p w:rsidR="009B4AA9" w:rsidRDefault="00385047" w:rsidP="00181537">
      <w:r>
        <w:t xml:space="preserve">The cost of private hospital services (and private health insurance) creates a divide between the consumers of private and public hospital services. </w:t>
      </w:r>
      <w:r w:rsidR="009B4AA9">
        <w:t xml:space="preserve">There is evidence, for example, that people living in </w:t>
      </w:r>
      <w:r w:rsidR="008D6039">
        <w:t xml:space="preserve">more socioeconomically advantaged areas </w:t>
      </w:r>
      <w:r w:rsidR="009B4AA9">
        <w:t>are more likely to have private health insurance.</w:t>
      </w:r>
      <w:r w:rsidR="009B4AA9">
        <w:rPr>
          <w:rStyle w:val="FootnoteReference"/>
        </w:rPr>
        <w:footnoteReference w:id="3"/>
      </w:r>
      <w:r w:rsidR="009B4AA9">
        <w:t xml:space="preserve"> </w:t>
      </w:r>
      <w:r w:rsidR="008D6039">
        <w:t>There is also strong evidence showing that people living in more socioeconomically advantaged areas have better health</w:t>
      </w:r>
      <w:r w:rsidR="00111D1E">
        <w:t xml:space="preserve"> than those in socioeconomically disadvantaged areas</w:t>
      </w:r>
      <w:r w:rsidR="008D6039">
        <w:t>.</w:t>
      </w:r>
      <w:r w:rsidR="008D6039" w:rsidRPr="008D6039">
        <w:rPr>
          <w:rStyle w:val="FootnoteReference"/>
        </w:rPr>
        <w:t xml:space="preserve"> </w:t>
      </w:r>
      <w:r w:rsidR="008D6039">
        <w:rPr>
          <w:rStyle w:val="FootnoteReference"/>
        </w:rPr>
        <w:footnoteReference w:id="4"/>
      </w:r>
      <w:r w:rsidR="008D6039">
        <w:t xml:space="preserve"> Because people with private insurance are more likely to use private hospitals than </w:t>
      </w:r>
      <w:r w:rsidR="00111D1E">
        <w:t>people</w:t>
      </w:r>
      <w:r w:rsidR="008D6039">
        <w:t xml:space="preserve"> without it, </w:t>
      </w:r>
      <w:r w:rsidR="00111D1E">
        <w:t xml:space="preserve">the client mix of </w:t>
      </w:r>
      <w:r w:rsidR="008D6039">
        <w:t xml:space="preserve">private hospitals </w:t>
      </w:r>
      <w:r w:rsidR="00111D1E">
        <w:t xml:space="preserve">is likely to be different from that of public hospitals. On the whole, private hospital patients tend to be </w:t>
      </w:r>
      <w:r w:rsidR="00B66E8E">
        <w:t>healthier</w:t>
      </w:r>
      <w:r w:rsidR="00111D1E">
        <w:t>, and therefore cheaper to treat than public hospital patients.</w:t>
      </w:r>
      <w:r w:rsidR="00702FF1">
        <w:rPr>
          <w:rStyle w:val="FootnoteReference"/>
        </w:rPr>
        <w:footnoteReference w:id="5"/>
      </w:r>
      <w:r w:rsidR="00111D1E">
        <w:t xml:space="preserve">  </w:t>
      </w:r>
    </w:p>
    <w:p w:rsidR="00385047" w:rsidRDefault="00385047" w:rsidP="00181537">
      <w:r>
        <w:lastRenderedPageBreak/>
        <w:t>Additionally private hospitals tend to have a higher proportion of elective services and shorter episodes of care compared to the public sector.</w:t>
      </w:r>
      <w:r w:rsidR="00D1633F">
        <w:rPr>
          <w:rStyle w:val="FootnoteReference"/>
        </w:rPr>
        <w:footnoteReference w:id="6"/>
      </w:r>
      <w:r>
        <w:t xml:space="preserve">  This is driven in part by the private hospitals’ greater focus on cost containment and financial risk management.  This in turn impacts on the capacity and willingness </w:t>
      </w:r>
      <w:r w:rsidR="00702FF1">
        <w:t xml:space="preserve">of private hospitals </w:t>
      </w:r>
      <w:r>
        <w:t xml:space="preserve">to compete with public providers across </w:t>
      </w:r>
      <w:r w:rsidR="00111D1E">
        <w:t>the full</w:t>
      </w:r>
      <w:r>
        <w:t xml:space="preserve"> range of services.</w:t>
      </w:r>
      <w:r w:rsidR="00111D1E">
        <w:t xml:space="preserve"> </w:t>
      </w:r>
    </w:p>
    <w:p w:rsidR="00A27F71" w:rsidRPr="0060309A" w:rsidRDefault="00A27F71" w:rsidP="00CD44BD">
      <w:pPr>
        <w:rPr>
          <w:rFonts w:eastAsiaTheme="majorEastAsia" w:cstheme="minorHAnsi"/>
          <w:b/>
          <w:bCs/>
          <w:color w:val="4F81BD" w:themeColor="accent1"/>
          <w:sz w:val="26"/>
          <w:szCs w:val="26"/>
        </w:rPr>
      </w:pPr>
      <w:r w:rsidRPr="0060309A">
        <w:rPr>
          <w:rFonts w:eastAsiaTheme="majorEastAsia" w:cstheme="minorHAnsi"/>
          <w:b/>
          <w:bCs/>
          <w:color w:val="4F81BD" w:themeColor="accent1"/>
          <w:sz w:val="26"/>
          <w:szCs w:val="26"/>
        </w:rPr>
        <w:t>Service providers</w:t>
      </w:r>
    </w:p>
    <w:p w:rsidR="00051BF9" w:rsidRDefault="00F34BF2" w:rsidP="00051BF9">
      <w:r>
        <w:t>Co</w:t>
      </w:r>
      <w:r w:rsidR="00350359">
        <w:t>mpetition between health services providers is primarily based on f</w:t>
      </w:r>
      <w:r w:rsidRPr="00F34BF2">
        <w:t xml:space="preserve">actors such as </w:t>
      </w:r>
      <w:r>
        <w:t xml:space="preserve">waiting times, convenience, </w:t>
      </w:r>
      <w:r w:rsidR="00350359">
        <w:t>cost</w:t>
      </w:r>
      <w:r w:rsidRPr="00F34BF2">
        <w:t xml:space="preserve"> and reputation. </w:t>
      </w:r>
      <w:r w:rsidR="00350359">
        <w:t>There is limited information available to consumers relating to the quality of the services provided</w:t>
      </w:r>
      <w:r w:rsidR="00766731">
        <w:t>, making it difficult f</w:t>
      </w:r>
      <w:r w:rsidR="00EF13E8">
        <w:t>or</w:t>
      </w:r>
      <w:r w:rsidR="00766731">
        <w:t xml:space="preserve"> them to make an informed decision on which provider to see</w:t>
      </w:r>
      <w:r w:rsidR="00350359">
        <w:t>.</w:t>
      </w:r>
      <w:r w:rsidR="00051BF9" w:rsidRPr="00051BF9">
        <w:t xml:space="preserve"> </w:t>
      </w:r>
      <w:r w:rsidR="00766731">
        <w:t xml:space="preserve">Instead, the choice is often left up to the patient’s general practitioner. </w:t>
      </w:r>
    </w:p>
    <w:p w:rsidR="00051BF9" w:rsidRDefault="009E7D04" w:rsidP="00051BF9">
      <w:pPr>
        <w:rPr>
          <w:vertAlign w:val="superscript"/>
        </w:rPr>
      </w:pPr>
      <w:r>
        <w:t xml:space="preserve">The data available on quality of care </w:t>
      </w:r>
      <w:r w:rsidR="00350359">
        <w:t>in Australia is limited in scope (e</w:t>
      </w:r>
      <w:r w:rsidR="00766731">
        <w:t>.</w:t>
      </w:r>
      <w:r w:rsidR="00350359">
        <w:t>g</w:t>
      </w:r>
      <w:r w:rsidR="00766731">
        <w:t>.</w:t>
      </w:r>
      <w:r w:rsidR="00350359">
        <w:t xml:space="preserve"> MRSA infection rates, hand washing data, waiting times) and detail (hospital level data only).</w:t>
      </w:r>
      <w:r w:rsidR="00051BF9" w:rsidRPr="00051BF9">
        <w:t xml:space="preserve"> </w:t>
      </w:r>
      <w:r w:rsidR="00051BF9">
        <w:t xml:space="preserve">In the USA, a web-based tool </w:t>
      </w:r>
      <w:r w:rsidR="00EF13E8">
        <w:t xml:space="preserve">provided by government allows </w:t>
      </w:r>
      <w:r w:rsidR="00051BF9">
        <w:t>consumers to compare different physicians</w:t>
      </w:r>
      <w:r w:rsidR="009E0BE2">
        <w:t>’</w:t>
      </w:r>
      <w:r w:rsidR="00051BF9">
        <w:t xml:space="preserve"> participation in a range of quality improvement programs.</w:t>
      </w:r>
      <w:r w:rsidR="00051BF9">
        <w:rPr>
          <w:rStyle w:val="FootnoteReference"/>
        </w:rPr>
        <w:footnoteReference w:id="7"/>
      </w:r>
      <w:r w:rsidR="00051BF9">
        <w:t xml:space="preserve">  Similarly the </w:t>
      </w:r>
      <w:proofErr w:type="spellStart"/>
      <w:r w:rsidR="00051BF9">
        <w:t>HospitalCompare</w:t>
      </w:r>
      <w:proofErr w:type="spellEnd"/>
      <w:r w:rsidR="00051BF9">
        <w:t xml:space="preserve"> site provides data on hospital readmission rates. </w:t>
      </w:r>
      <w:r w:rsidR="00051BF9">
        <w:rPr>
          <w:rStyle w:val="FootnoteReference"/>
        </w:rPr>
        <w:footnoteReference w:id="8"/>
      </w:r>
      <w:r w:rsidR="00051BF9">
        <w:t xml:space="preserve">  In some </w:t>
      </w:r>
      <w:r w:rsidR="00D03AD2">
        <w:t xml:space="preserve">parts of the United </w:t>
      </w:r>
      <w:r w:rsidR="00051BF9">
        <w:t xml:space="preserve">States, government agencies, and professional associations publish detailed and timely performance data on a range of quality indicators for common surgical procedures and medical conditions. </w:t>
      </w:r>
      <w:r w:rsidR="00051BF9">
        <w:rPr>
          <w:rStyle w:val="FootnoteReference"/>
        </w:rPr>
        <w:footnoteReference w:id="9"/>
      </w:r>
      <w:r w:rsidR="00051BF9" w:rsidRPr="00051BF9">
        <w:rPr>
          <w:vertAlign w:val="superscript"/>
        </w:rPr>
        <w:t>,</w:t>
      </w:r>
      <w:r w:rsidR="00051BF9">
        <w:rPr>
          <w:rStyle w:val="FootnoteReference"/>
        </w:rPr>
        <w:footnoteReference w:id="10"/>
      </w:r>
    </w:p>
    <w:p w:rsidR="006E29C2" w:rsidRPr="006E29C2" w:rsidRDefault="006E29C2" w:rsidP="00051BF9">
      <w:r>
        <w:t xml:space="preserve">Any efforts to increase consumer driven competition will require greatly improved availability of </w:t>
      </w:r>
      <w:r w:rsidR="006D0E9E">
        <w:t xml:space="preserve">quality and </w:t>
      </w:r>
      <w:r>
        <w:t>clinical outcome data across the public and private sector</w:t>
      </w:r>
      <w:r w:rsidR="00D03AD2">
        <w:t>s</w:t>
      </w:r>
      <w:r w:rsidR="006D0E9E">
        <w:t xml:space="preserve">. Without it, </w:t>
      </w:r>
      <w:r>
        <w:t xml:space="preserve">competition will be driven by the quality of </w:t>
      </w:r>
      <w:r w:rsidR="00D03AD2">
        <w:t>self-promotion,</w:t>
      </w:r>
      <w:r>
        <w:t xml:space="preserve"> rather than the quality of </w:t>
      </w:r>
      <w:r w:rsidR="006D0E9E">
        <w:t>care</w:t>
      </w:r>
      <w:r>
        <w:t>.</w:t>
      </w:r>
    </w:p>
    <w:p w:rsidR="00051BF9" w:rsidRDefault="005F4C6A" w:rsidP="00CD44BD">
      <w:r>
        <w:t xml:space="preserve">In rural and regional areas there is a lack of competition in </w:t>
      </w:r>
      <w:r w:rsidR="00A55610">
        <w:t xml:space="preserve">many areas of </w:t>
      </w:r>
      <w:r>
        <w:t>health</w:t>
      </w:r>
      <w:r w:rsidR="00A55610">
        <w:t xml:space="preserve"> </w:t>
      </w:r>
      <w:r>
        <w:t xml:space="preserve">care </w:t>
      </w:r>
      <w:r w:rsidR="00051BF9">
        <w:t xml:space="preserve">due to </w:t>
      </w:r>
      <w:r w:rsidR="00077386">
        <w:t xml:space="preserve">the relatively high cost of service provision and </w:t>
      </w:r>
      <w:r w:rsidR="00051BF9">
        <w:t xml:space="preserve">limited number of providers. AHHA members estimate that the costs of providing basic medical services in rural and remote areas can </w:t>
      </w:r>
      <w:r w:rsidR="00D03AD2">
        <w:t xml:space="preserve">be </w:t>
      </w:r>
      <w:r w:rsidR="00051BF9">
        <w:t>in the order of 500</w:t>
      </w:r>
      <w:r w:rsidR="00154146">
        <w:t xml:space="preserve"> per cent</w:t>
      </w:r>
      <w:r w:rsidR="00051BF9">
        <w:t xml:space="preserve"> more than in regional centres. The challenge of overcoming market failure in these areas has been regularly identified</w:t>
      </w:r>
      <w:r w:rsidR="00690D8D">
        <w:t>,</w:t>
      </w:r>
      <w:r w:rsidR="00051BF9">
        <w:t xml:space="preserve"> including in the National Health and Hospitals Reform Commission Report.</w:t>
      </w:r>
      <w:r w:rsidR="00051BF9">
        <w:rPr>
          <w:rStyle w:val="FootnoteReference"/>
        </w:rPr>
        <w:footnoteReference w:id="11"/>
      </w:r>
      <w:r w:rsidR="00051BF9">
        <w:t xml:space="preserve">  The more recent Review of Medicare Locals also highlighted the need for government supported services in areas of market failure. </w:t>
      </w:r>
      <w:r w:rsidR="00051BF9">
        <w:rPr>
          <w:rStyle w:val="FootnoteReference"/>
        </w:rPr>
        <w:footnoteReference w:id="12"/>
      </w:r>
      <w:r w:rsidR="00051BF9">
        <w:t xml:space="preserve"> </w:t>
      </w:r>
    </w:p>
    <w:p w:rsidR="00CB6E0A" w:rsidRDefault="00690D8D" w:rsidP="00CD44BD">
      <w:r>
        <w:lastRenderedPageBreak/>
        <w:t xml:space="preserve">Public hospital and health services in rural and remote areas are often the only available service providers and the viability of these services can </w:t>
      </w:r>
      <w:r w:rsidR="00D010FA">
        <w:t xml:space="preserve">sometimes </w:t>
      </w:r>
      <w:r>
        <w:t xml:space="preserve">be marginal. </w:t>
      </w:r>
      <w:r w:rsidR="005F4C6A">
        <w:t xml:space="preserve">Competition policy is highly unlikely to assist </w:t>
      </w:r>
      <w:r>
        <w:t xml:space="preserve">in achieving </w:t>
      </w:r>
      <w:r w:rsidR="005F4C6A">
        <w:t xml:space="preserve">any of the goals of health policy in these areas and in AHHA’s view, may result in even fewer services </w:t>
      </w:r>
      <w:r w:rsidR="00CB6E0A">
        <w:t xml:space="preserve">and uncertainty of ongoing provision. </w:t>
      </w:r>
      <w:r>
        <w:t xml:space="preserve">Further, there is a significant risk that greater competition between public and private hospitals in the more cost-efficient metropolitan areas may dilute the economies of scale achieved </w:t>
      </w:r>
      <w:r w:rsidR="00F15EE6">
        <w:t>by large-scale</w:t>
      </w:r>
      <w:r>
        <w:t xml:space="preserve"> public sector health services</w:t>
      </w:r>
      <w:r w:rsidR="00F15EE6">
        <w:t>, thus making delivery of services in areas of market failure even more costly.</w:t>
      </w:r>
      <w:r w:rsidR="00CB6E0A">
        <w:t xml:space="preserve"> </w:t>
      </w:r>
    </w:p>
    <w:p w:rsidR="00CB6E0A" w:rsidRDefault="009363F8" w:rsidP="00CD44BD">
      <w:r>
        <w:t>Introducing</w:t>
      </w:r>
      <w:r w:rsidR="007112A4">
        <w:t xml:space="preserve"> </w:t>
      </w:r>
      <w:r w:rsidR="00D010FA">
        <w:t>competition into</w:t>
      </w:r>
      <w:r w:rsidR="007112A4">
        <w:t xml:space="preserve"> discrete, non-clinical areas </w:t>
      </w:r>
      <w:r w:rsidR="00C21E71">
        <w:t xml:space="preserve">of service delivery </w:t>
      </w:r>
      <w:r w:rsidR="00CB6E0A">
        <w:t xml:space="preserve">may </w:t>
      </w:r>
      <w:r>
        <w:t xml:space="preserve">also </w:t>
      </w:r>
      <w:r w:rsidR="00C21E71">
        <w:t xml:space="preserve">have an </w:t>
      </w:r>
      <w:r w:rsidR="00CB6E0A">
        <w:t xml:space="preserve">impact on the viability of the whole enterprise. For example, the kitchen and laundry facilities of a rural hospital may provide services to other industry in the local area and the loss of that service </w:t>
      </w:r>
      <w:r w:rsidR="006E29C2">
        <w:t>would</w:t>
      </w:r>
      <w:r w:rsidR="00CB6E0A">
        <w:t xml:space="preserve"> impact on staff and the community more widely.</w:t>
      </w:r>
    </w:p>
    <w:p w:rsidR="0060309A" w:rsidRPr="0060309A" w:rsidRDefault="00CB6E0A" w:rsidP="00CD44BD">
      <w:r>
        <w:t>Significantly</w:t>
      </w:r>
      <w:r w:rsidR="00CF3F0F">
        <w:t>,</w:t>
      </w:r>
      <w:r>
        <w:t xml:space="preserve"> the viability of health and human services in some communities has been improved through a reduction in competition. The Multi-Purposes Service model in operation across Australia arose to address concerns about the viability of small rural hospitals and aged care facilities which had been operating independently and were effectively competing for funding and staff. By pooling funds, amalgamating facilities and combining staffing and management </w:t>
      </w:r>
      <w:r w:rsidR="006E29C2">
        <w:t>structures,  a robust and flexible business approach was established which was engaged with the community and could adapt to respond to changing needs.</w:t>
      </w:r>
    </w:p>
    <w:p w:rsidR="00A27F71" w:rsidRPr="0060309A" w:rsidRDefault="00A27F71" w:rsidP="00CD44BD">
      <w:pPr>
        <w:rPr>
          <w:rFonts w:eastAsiaTheme="majorEastAsia" w:cstheme="minorHAnsi"/>
          <w:b/>
          <w:bCs/>
          <w:color w:val="4F81BD" w:themeColor="accent1"/>
          <w:sz w:val="26"/>
          <w:szCs w:val="26"/>
        </w:rPr>
      </w:pPr>
      <w:r w:rsidRPr="0060309A">
        <w:rPr>
          <w:rFonts w:eastAsiaTheme="majorEastAsia" w:cstheme="minorHAnsi"/>
          <w:b/>
          <w:bCs/>
          <w:color w:val="4F81BD" w:themeColor="accent1"/>
          <w:sz w:val="26"/>
          <w:szCs w:val="26"/>
        </w:rPr>
        <w:t>Health insurance</w:t>
      </w:r>
      <w:r w:rsidR="002D2FEC">
        <w:rPr>
          <w:rFonts w:eastAsiaTheme="majorEastAsia" w:cstheme="minorHAnsi"/>
          <w:b/>
          <w:bCs/>
          <w:color w:val="4F81BD" w:themeColor="accent1"/>
          <w:sz w:val="26"/>
          <w:szCs w:val="26"/>
        </w:rPr>
        <w:t xml:space="preserve"> </w:t>
      </w:r>
    </w:p>
    <w:p w:rsidR="006E29C2" w:rsidRDefault="006E29C2" w:rsidP="004B476E">
      <w:pPr>
        <w:pStyle w:val="NormalWeb"/>
        <w:spacing w:after="300" w:line="300" w:lineRule="atLeast"/>
        <w:textAlignment w:val="baseline"/>
        <w:rPr>
          <w:rFonts w:asciiTheme="minorHAnsi" w:hAnsiTheme="minorHAnsi"/>
          <w:sz w:val="22"/>
          <w:szCs w:val="22"/>
        </w:rPr>
      </w:pPr>
      <w:r>
        <w:rPr>
          <w:rFonts w:asciiTheme="minorHAnsi" w:hAnsiTheme="minorHAnsi"/>
          <w:sz w:val="22"/>
          <w:szCs w:val="22"/>
        </w:rPr>
        <w:t>There are two aspects to competition in the private health insurance market; comp</w:t>
      </w:r>
      <w:r w:rsidR="002268BC" w:rsidRPr="00B3524D">
        <w:rPr>
          <w:rFonts w:asciiTheme="minorHAnsi" w:hAnsiTheme="minorHAnsi"/>
          <w:sz w:val="22"/>
          <w:szCs w:val="22"/>
        </w:rPr>
        <w:t xml:space="preserve">etition </w:t>
      </w:r>
      <w:r w:rsidR="00F34BF2" w:rsidRPr="00B3524D">
        <w:rPr>
          <w:rFonts w:asciiTheme="minorHAnsi" w:hAnsiTheme="minorHAnsi"/>
          <w:sz w:val="22"/>
          <w:szCs w:val="22"/>
        </w:rPr>
        <w:t xml:space="preserve">between </w:t>
      </w:r>
      <w:r>
        <w:rPr>
          <w:rFonts w:asciiTheme="minorHAnsi" w:hAnsiTheme="minorHAnsi"/>
          <w:sz w:val="22"/>
          <w:szCs w:val="22"/>
        </w:rPr>
        <w:t xml:space="preserve">public </w:t>
      </w:r>
      <w:r w:rsidR="00FA0FD4">
        <w:rPr>
          <w:rFonts w:asciiTheme="minorHAnsi" w:hAnsiTheme="minorHAnsi"/>
          <w:sz w:val="22"/>
          <w:szCs w:val="22"/>
        </w:rPr>
        <w:t xml:space="preserve">insurance </w:t>
      </w:r>
      <w:r w:rsidR="00805A34">
        <w:rPr>
          <w:rFonts w:asciiTheme="minorHAnsi" w:hAnsiTheme="minorHAnsi"/>
          <w:sz w:val="22"/>
          <w:szCs w:val="22"/>
        </w:rPr>
        <w:t xml:space="preserve">(Medicare) </w:t>
      </w:r>
      <w:r>
        <w:rPr>
          <w:rFonts w:asciiTheme="minorHAnsi" w:hAnsiTheme="minorHAnsi"/>
          <w:sz w:val="22"/>
          <w:szCs w:val="22"/>
        </w:rPr>
        <w:t xml:space="preserve">and </w:t>
      </w:r>
      <w:r w:rsidR="00F34BF2" w:rsidRPr="00B3524D">
        <w:rPr>
          <w:rFonts w:asciiTheme="minorHAnsi" w:hAnsiTheme="minorHAnsi"/>
          <w:sz w:val="22"/>
          <w:szCs w:val="22"/>
        </w:rPr>
        <w:t>private health</w:t>
      </w:r>
      <w:r>
        <w:rPr>
          <w:rFonts w:asciiTheme="minorHAnsi" w:hAnsiTheme="minorHAnsi"/>
          <w:sz w:val="22"/>
          <w:szCs w:val="22"/>
        </w:rPr>
        <w:t xml:space="preserve"> </w:t>
      </w:r>
      <w:r w:rsidR="00805A34">
        <w:rPr>
          <w:rFonts w:asciiTheme="minorHAnsi" w:hAnsiTheme="minorHAnsi"/>
          <w:sz w:val="22"/>
          <w:szCs w:val="22"/>
        </w:rPr>
        <w:t xml:space="preserve">insurers, </w:t>
      </w:r>
      <w:r>
        <w:rPr>
          <w:rFonts w:asciiTheme="minorHAnsi" w:hAnsiTheme="minorHAnsi"/>
          <w:sz w:val="22"/>
          <w:szCs w:val="22"/>
        </w:rPr>
        <w:t xml:space="preserve">and </w:t>
      </w:r>
      <w:r w:rsidR="00805A34">
        <w:rPr>
          <w:rFonts w:asciiTheme="minorHAnsi" w:hAnsiTheme="minorHAnsi"/>
          <w:sz w:val="22"/>
          <w:szCs w:val="22"/>
        </w:rPr>
        <w:t xml:space="preserve">competition </w:t>
      </w:r>
      <w:r w:rsidR="00EF13E8">
        <w:rPr>
          <w:rFonts w:asciiTheme="minorHAnsi" w:hAnsiTheme="minorHAnsi"/>
          <w:sz w:val="22"/>
          <w:szCs w:val="22"/>
        </w:rPr>
        <w:t>among</w:t>
      </w:r>
      <w:r w:rsidR="00805A34">
        <w:rPr>
          <w:rFonts w:asciiTheme="minorHAnsi" w:hAnsiTheme="minorHAnsi"/>
          <w:sz w:val="22"/>
          <w:szCs w:val="22"/>
        </w:rPr>
        <w:t xml:space="preserve"> </w:t>
      </w:r>
      <w:r>
        <w:rPr>
          <w:rFonts w:asciiTheme="minorHAnsi" w:hAnsiTheme="minorHAnsi"/>
          <w:sz w:val="22"/>
          <w:szCs w:val="22"/>
        </w:rPr>
        <w:t xml:space="preserve">private health </w:t>
      </w:r>
      <w:r w:rsidR="00805A34">
        <w:rPr>
          <w:rFonts w:asciiTheme="minorHAnsi" w:hAnsiTheme="minorHAnsi"/>
          <w:sz w:val="22"/>
          <w:szCs w:val="22"/>
        </w:rPr>
        <w:t>insurers</w:t>
      </w:r>
      <w:r>
        <w:rPr>
          <w:rFonts w:asciiTheme="minorHAnsi" w:hAnsiTheme="minorHAnsi"/>
          <w:sz w:val="22"/>
          <w:szCs w:val="22"/>
        </w:rPr>
        <w:t xml:space="preserve">. </w:t>
      </w:r>
      <w:r w:rsidR="00F34BF2" w:rsidRPr="00B3524D">
        <w:rPr>
          <w:rFonts w:asciiTheme="minorHAnsi" w:hAnsiTheme="minorHAnsi"/>
          <w:sz w:val="22"/>
          <w:szCs w:val="22"/>
        </w:rPr>
        <w:t xml:space="preserve"> </w:t>
      </w:r>
    </w:p>
    <w:p w:rsidR="00FA0FD4" w:rsidRDefault="00A27F71" w:rsidP="00094644">
      <w:pPr>
        <w:spacing w:after="0" w:line="300" w:lineRule="atLeast"/>
        <w:textAlignment w:val="baseline"/>
        <w:rPr>
          <w:rFonts w:cs="Times New Roman"/>
        </w:rPr>
      </w:pPr>
      <w:r w:rsidRPr="00B3524D">
        <w:t>While</w:t>
      </w:r>
      <w:r w:rsidR="00F34BF2" w:rsidRPr="00B3524D">
        <w:t xml:space="preserve"> Medicare is </w:t>
      </w:r>
      <w:r w:rsidR="001452F5" w:rsidRPr="00B3524D">
        <w:t>universal</w:t>
      </w:r>
      <w:r w:rsidR="00F34BF2" w:rsidRPr="00B3524D">
        <w:t>,</w:t>
      </w:r>
      <w:r w:rsidRPr="00B3524D">
        <w:t xml:space="preserve"> the rate of</w:t>
      </w:r>
      <w:r w:rsidR="00F34BF2" w:rsidRPr="00B3524D">
        <w:t xml:space="preserve"> private insurance coverage </w:t>
      </w:r>
      <w:r w:rsidR="002268BC" w:rsidRPr="00B3524D">
        <w:t>was 47</w:t>
      </w:r>
      <w:r w:rsidR="00F34BF2" w:rsidRPr="00B3524D">
        <w:t xml:space="preserve"> per cent </w:t>
      </w:r>
      <w:r w:rsidR="002268BC" w:rsidRPr="00B3524D">
        <w:t xml:space="preserve">as </w:t>
      </w:r>
      <w:r w:rsidR="00F15EE6">
        <w:t>at</w:t>
      </w:r>
      <w:r w:rsidR="00F15EE6" w:rsidRPr="00B3524D">
        <w:t xml:space="preserve"> </w:t>
      </w:r>
      <w:r w:rsidR="006E29C2">
        <w:t>March</w:t>
      </w:r>
      <w:r w:rsidR="00F34BF2" w:rsidRPr="00B3524D">
        <w:t xml:space="preserve"> 20</w:t>
      </w:r>
      <w:r w:rsidR="002268BC" w:rsidRPr="00B3524D">
        <w:t>1</w:t>
      </w:r>
      <w:r w:rsidR="006E29C2">
        <w:t>4</w:t>
      </w:r>
      <w:r w:rsidR="00F34BF2" w:rsidRPr="00B3524D">
        <w:t>.</w:t>
      </w:r>
      <w:r w:rsidR="002268BC" w:rsidRPr="00B3524D">
        <w:rPr>
          <w:rStyle w:val="FootnoteReference"/>
        </w:rPr>
        <w:footnoteReference w:id="13"/>
      </w:r>
      <w:r w:rsidR="002268BC" w:rsidRPr="00B3524D">
        <w:t xml:space="preserve"> </w:t>
      </w:r>
      <w:r w:rsidR="00C52D97" w:rsidRPr="00CF3F0F">
        <w:rPr>
          <w:rFonts w:cs="Times New Roman"/>
        </w:rPr>
        <w:t xml:space="preserve">Competition </w:t>
      </w:r>
      <w:r w:rsidR="00CF3F0F" w:rsidRPr="00CF3F0F">
        <w:rPr>
          <w:rFonts w:cs="Times New Roman"/>
        </w:rPr>
        <w:t xml:space="preserve">exists </w:t>
      </w:r>
      <w:r w:rsidR="00C52D97" w:rsidRPr="00CF3F0F">
        <w:rPr>
          <w:rFonts w:cs="Times New Roman"/>
        </w:rPr>
        <w:t>between Medicare and private insurance</w:t>
      </w:r>
      <w:r w:rsidR="00CF3F0F" w:rsidRPr="00CF3F0F">
        <w:rPr>
          <w:rFonts w:cs="Times New Roman"/>
        </w:rPr>
        <w:t xml:space="preserve"> largely </w:t>
      </w:r>
      <w:r w:rsidR="00CF3F0F">
        <w:rPr>
          <w:rFonts w:cs="Times New Roman"/>
        </w:rPr>
        <w:t xml:space="preserve">in the hospital market. Private insurers compete for customers based on their ability to offer shorter </w:t>
      </w:r>
      <w:r w:rsidR="00CF3F0F" w:rsidRPr="00CF3F0F">
        <w:rPr>
          <w:rFonts w:cs="Times New Roman"/>
        </w:rPr>
        <w:t xml:space="preserve">waiting times </w:t>
      </w:r>
      <w:r w:rsidR="009363F8">
        <w:rPr>
          <w:rFonts w:cs="Times New Roman"/>
        </w:rPr>
        <w:t>for elective surgery</w:t>
      </w:r>
      <w:r w:rsidR="00CF3F0F" w:rsidRPr="00CF3F0F">
        <w:rPr>
          <w:rFonts w:cs="Times New Roman"/>
        </w:rPr>
        <w:t xml:space="preserve"> and the </w:t>
      </w:r>
      <w:r w:rsidR="00CF3F0F">
        <w:rPr>
          <w:rFonts w:cs="Times New Roman"/>
        </w:rPr>
        <w:t xml:space="preserve">possibility of choosing </w:t>
      </w:r>
      <w:r w:rsidR="00EF13E8">
        <w:rPr>
          <w:rFonts w:cs="Times New Roman"/>
        </w:rPr>
        <w:t>one’s</w:t>
      </w:r>
      <w:r w:rsidR="00CF3F0F" w:rsidRPr="00CF3F0F">
        <w:rPr>
          <w:rFonts w:cs="Times New Roman"/>
        </w:rPr>
        <w:t xml:space="preserve"> own doctor</w:t>
      </w:r>
      <w:r w:rsidR="00CF3F0F">
        <w:rPr>
          <w:rFonts w:cs="Times New Roman"/>
        </w:rPr>
        <w:t>. Private insurers are also able to attract customers because they provide benefits for some ancillary services (for example</w:t>
      </w:r>
      <w:r w:rsidR="00EF13E8">
        <w:rPr>
          <w:rFonts w:cs="Times New Roman"/>
        </w:rPr>
        <w:t>,</w:t>
      </w:r>
      <w:r w:rsidR="00CF3F0F">
        <w:rPr>
          <w:rFonts w:cs="Times New Roman"/>
        </w:rPr>
        <w:t xml:space="preserve"> physiotherapy and dental services) not covered under Medicare. </w:t>
      </w:r>
    </w:p>
    <w:p w:rsidR="00FA0FD4" w:rsidRDefault="00FA0FD4" w:rsidP="00094644">
      <w:pPr>
        <w:spacing w:after="0" w:line="300" w:lineRule="atLeast"/>
        <w:textAlignment w:val="baseline"/>
        <w:rPr>
          <w:rFonts w:cs="Times New Roman"/>
        </w:rPr>
      </w:pPr>
    </w:p>
    <w:p w:rsidR="0043289C" w:rsidRDefault="00CF3F0F" w:rsidP="00600F6D">
      <w:pPr>
        <w:spacing w:after="0" w:line="300" w:lineRule="atLeast"/>
        <w:textAlignment w:val="baseline"/>
      </w:pPr>
      <w:r>
        <w:rPr>
          <w:rFonts w:cs="Times New Roman"/>
        </w:rPr>
        <w:t>There are also several financial incentives in place that encourage people to purchase private insurance</w:t>
      </w:r>
      <w:r w:rsidR="00EF13E8">
        <w:rPr>
          <w:rFonts w:cs="Times New Roman"/>
        </w:rPr>
        <w:t>,</w:t>
      </w:r>
      <w:r>
        <w:rPr>
          <w:rFonts w:cs="Times New Roman"/>
        </w:rPr>
        <w:t xml:space="preserve"> includ</w:t>
      </w:r>
      <w:r w:rsidR="00EF13E8">
        <w:rPr>
          <w:rFonts w:cs="Times New Roman"/>
        </w:rPr>
        <w:t>ing</w:t>
      </w:r>
      <w:r w:rsidR="009363F8">
        <w:rPr>
          <w:rFonts w:cs="Times New Roman"/>
        </w:rPr>
        <w:t xml:space="preserve"> means-tested premium subsidies</w:t>
      </w:r>
      <w:r w:rsidR="00EF13E8">
        <w:rPr>
          <w:rFonts w:cs="Times New Roman"/>
        </w:rPr>
        <w:t>, the</w:t>
      </w:r>
      <w:r w:rsidR="006E29C2" w:rsidRPr="00B3524D">
        <w:rPr>
          <w:rFonts w:cs="Times New Roman"/>
        </w:rPr>
        <w:t xml:space="preserve"> Medicare Levy Surcharge and the Lifetime Health Cover loading penalty.</w:t>
      </w:r>
      <w:r w:rsidR="00FA0FD4">
        <w:rPr>
          <w:rFonts w:cs="Times New Roman"/>
        </w:rPr>
        <w:t xml:space="preserve"> </w:t>
      </w:r>
      <w:r w:rsidR="00CD21FD">
        <w:t>Th</w:t>
      </w:r>
      <w:r w:rsidR="00134F4C">
        <w:t>e introduction of the Lifetime Health Cover loading penalty in 2000 saw an increase in the take up of private health insurance, with further upward growth since 2008 following the increase in Medicare Levy Surcharge income thresholds (see chart below)</w:t>
      </w:r>
      <w:r w:rsidR="00CD21FD">
        <w:t xml:space="preserve">. </w:t>
      </w:r>
      <w:r w:rsidR="00134F4C">
        <w:rPr>
          <w:rStyle w:val="FootnoteReference"/>
        </w:rPr>
        <w:footnoteReference w:id="14"/>
      </w:r>
    </w:p>
    <w:p w:rsidR="00600F6D" w:rsidRDefault="00600F6D" w:rsidP="00600F6D">
      <w:pPr>
        <w:spacing w:after="0" w:line="300" w:lineRule="atLeast"/>
        <w:textAlignment w:val="baseline"/>
        <w:rPr>
          <w:rFonts w:cs="Times New Roman"/>
        </w:rPr>
      </w:pPr>
    </w:p>
    <w:p w:rsidR="00134F4C" w:rsidRPr="00600F6D" w:rsidRDefault="00134F4C" w:rsidP="00600F6D">
      <w:pPr>
        <w:spacing w:after="0" w:line="300" w:lineRule="atLeast"/>
        <w:textAlignment w:val="baseline"/>
        <w:rPr>
          <w:rFonts w:cs="Times New Roman"/>
        </w:rPr>
      </w:pPr>
      <w:r>
        <w:rPr>
          <w:rFonts w:ascii="Arial" w:eastAsia="Times New Roman" w:hAnsi="Arial" w:cs="Arial"/>
          <w:noProof/>
          <w:color w:val="2E2E2E"/>
        </w:rPr>
        <w:lastRenderedPageBreak/>
        <w:drawing>
          <wp:inline distT="0" distB="0" distL="0" distR="0" wp14:anchorId="703C1EF7" wp14:editId="4D7CCE49">
            <wp:extent cx="5731510" cy="4050037"/>
            <wp:effectExtent l="0" t="0" r="2540" b="7620"/>
            <wp:docPr id="4" name="Picture 4" descr="Coverage Cha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age Chart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050037"/>
                    </a:xfrm>
                    <a:prstGeom prst="rect">
                      <a:avLst/>
                    </a:prstGeom>
                    <a:noFill/>
                    <a:ln>
                      <a:noFill/>
                    </a:ln>
                  </pic:spPr>
                </pic:pic>
              </a:graphicData>
            </a:graphic>
          </wp:inline>
        </w:drawing>
      </w:r>
    </w:p>
    <w:p w:rsidR="00451A93" w:rsidRDefault="00600F6D" w:rsidP="00380D33">
      <w:pPr>
        <w:pStyle w:val="NormalWeb"/>
        <w:spacing w:after="300" w:line="300" w:lineRule="atLeast"/>
        <w:textAlignment w:val="baseline"/>
        <w:rPr>
          <w:rFonts w:asciiTheme="minorHAnsi" w:hAnsiTheme="minorHAnsi"/>
          <w:sz w:val="22"/>
          <w:szCs w:val="22"/>
        </w:rPr>
      </w:pPr>
      <w:r>
        <w:rPr>
          <w:rFonts w:asciiTheme="minorHAnsi" w:hAnsiTheme="minorHAnsi"/>
          <w:sz w:val="22"/>
          <w:szCs w:val="22"/>
        </w:rPr>
        <w:t>T</w:t>
      </w:r>
      <w:r w:rsidR="007B3EAB">
        <w:rPr>
          <w:rFonts w:asciiTheme="minorHAnsi" w:hAnsiTheme="minorHAnsi"/>
          <w:sz w:val="22"/>
          <w:szCs w:val="22"/>
        </w:rPr>
        <w:t>he</w:t>
      </w:r>
      <w:r w:rsidR="008A4544">
        <w:rPr>
          <w:rFonts w:asciiTheme="minorHAnsi" w:hAnsiTheme="minorHAnsi"/>
          <w:sz w:val="22"/>
          <w:szCs w:val="22"/>
        </w:rPr>
        <w:t xml:space="preserve"> current </w:t>
      </w:r>
      <w:r w:rsidR="007B3EAB">
        <w:rPr>
          <w:rFonts w:asciiTheme="minorHAnsi" w:hAnsiTheme="minorHAnsi"/>
          <w:sz w:val="22"/>
          <w:szCs w:val="22"/>
        </w:rPr>
        <w:t xml:space="preserve">array of financial and non-financial incentives to purchase private health insurance </w:t>
      </w:r>
      <w:proofErr w:type="gramStart"/>
      <w:r w:rsidR="007B3EAB">
        <w:rPr>
          <w:rFonts w:asciiTheme="minorHAnsi" w:hAnsiTheme="minorHAnsi"/>
          <w:sz w:val="22"/>
          <w:szCs w:val="22"/>
        </w:rPr>
        <w:t>obscure</w:t>
      </w:r>
      <w:r>
        <w:rPr>
          <w:rFonts w:asciiTheme="minorHAnsi" w:hAnsiTheme="minorHAnsi"/>
          <w:sz w:val="22"/>
          <w:szCs w:val="22"/>
        </w:rPr>
        <w:t>s</w:t>
      </w:r>
      <w:proofErr w:type="gramEnd"/>
      <w:r>
        <w:rPr>
          <w:rFonts w:asciiTheme="minorHAnsi" w:hAnsiTheme="minorHAnsi"/>
          <w:sz w:val="22"/>
          <w:szCs w:val="22"/>
        </w:rPr>
        <w:t xml:space="preserve"> </w:t>
      </w:r>
      <w:r w:rsidR="00A93C8F">
        <w:rPr>
          <w:rFonts w:asciiTheme="minorHAnsi" w:hAnsiTheme="minorHAnsi"/>
          <w:sz w:val="22"/>
          <w:szCs w:val="22"/>
        </w:rPr>
        <w:t>a</w:t>
      </w:r>
      <w:r w:rsidR="007B3EAB">
        <w:rPr>
          <w:rFonts w:asciiTheme="minorHAnsi" w:hAnsiTheme="minorHAnsi"/>
          <w:sz w:val="22"/>
          <w:szCs w:val="22"/>
        </w:rPr>
        <w:t xml:space="preserve"> </w:t>
      </w:r>
      <w:r>
        <w:rPr>
          <w:rFonts w:asciiTheme="minorHAnsi" w:hAnsiTheme="minorHAnsi"/>
          <w:sz w:val="22"/>
          <w:szCs w:val="22"/>
        </w:rPr>
        <w:t>longstanding structural problem. C</w:t>
      </w:r>
      <w:r w:rsidR="00A93C8F">
        <w:rPr>
          <w:rFonts w:asciiTheme="minorHAnsi" w:hAnsiTheme="minorHAnsi"/>
          <w:sz w:val="22"/>
          <w:szCs w:val="22"/>
        </w:rPr>
        <w:t>ompared with most other O</w:t>
      </w:r>
      <w:r w:rsidR="00451A93">
        <w:rPr>
          <w:rFonts w:asciiTheme="minorHAnsi" w:hAnsiTheme="minorHAnsi"/>
          <w:sz w:val="22"/>
          <w:szCs w:val="22"/>
        </w:rPr>
        <w:t>E</w:t>
      </w:r>
      <w:r w:rsidR="00A93C8F">
        <w:rPr>
          <w:rFonts w:asciiTheme="minorHAnsi" w:hAnsiTheme="minorHAnsi"/>
          <w:sz w:val="22"/>
          <w:szCs w:val="22"/>
        </w:rPr>
        <w:t xml:space="preserve">CD countries, health insurance </w:t>
      </w:r>
      <w:r w:rsidR="00B673F9">
        <w:rPr>
          <w:rFonts w:asciiTheme="minorHAnsi" w:hAnsiTheme="minorHAnsi"/>
          <w:sz w:val="22"/>
          <w:szCs w:val="22"/>
        </w:rPr>
        <w:t xml:space="preserve">arrangements in </w:t>
      </w:r>
      <w:r w:rsidR="00A93C8F">
        <w:rPr>
          <w:rFonts w:asciiTheme="minorHAnsi" w:hAnsiTheme="minorHAnsi"/>
          <w:sz w:val="22"/>
          <w:szCs w:val="22"/>
        </w:rPr>
        <w:t>Australia ha</w:t>
      </w:r>
      <w:r w:rsidR="00B673F9">
        <w:rPr>
          <w:rFonts w:asciiTheme="minorHAnsi" w:hAnsiTheme="minorHAnsi"/>
          <w:sz w:val="22"/>
          <w:szCs w:val="22"/>
        </w:rPr>
        <w:t xml:space="preserve">ve </w:t>
      </w:r>
      <w:r w:rsidR="00A93C8F">
        <w:rPr>
          <w:rFonts w:asciiTheme="minorHAnsi" w:hAnsiTheme="minorHAnsi"/>
          <w:sz w:val="22"/>
          <w:szCs w:val="22"/>
        </w:rPr>
        <w:t>a high degree of duplication</w:t>
      </w:r>
      <w:r w:rsidR="00B673F9">
        <w:rPr>
          <w:rFonts w:asciiTheme="minorHAnsi" w:hAnsiTheme="minorHAnsi"/>
          <w:sz w:val="22"/>
          <w:szCs w:val="22"/>
        </w:rPr>
        <w:t xml:space="preserve"> – that is, private health insurance and Medicare provide cover for many of the same services, and Medicare is compulsory.</w:t>
      </w:r>
      <w:r w:rsidR="00510892">
        <w:rPr>
          <w:rStyle w:val="FootnoteReference"/>
          <w:rFonts w:asciiTheme="minorHAnsi" w:hAnsiTheme="minorHAnsi"/>
          <w:sz w:val="22"/>
          <w:szCs w:val="22"/>
        </w:rPr>
        <w:footnoteReference w:id="15"/>
      </w:r>
      <w:r w:rsidR="00B673F9">
        <w:rPr>
          <w:rFonts w:asciiTheme="minorHAnsi" w:hAnsiTheme="minorHAnsi"/>
          <w:sz w:val="22"/>
          <w:szCs w:val="22"/>
        </w:rPr>
        <w:t xml:space="preserve"> </w:t>
      </w:r>
    </w:p>
    <w:p w:rsidR="00D86928" w:rsidRDefault="00451A93" w:rsidP="00380D33">
      <w:pPr>
        <w:pStyle w:val="NormalWeb"/>
        <w:spacing w:after="300" w:line="300" w:lineRule="atLeast"/>
        <w:textAlignment w:val="baseline"/>
        <w:rPr>
          <w:rFonts w:asciiTheme="minorHAnsi" w:hAnsiTheme="minorHAnsi"/>
          <w:sz w:val="22"/>
          <w:szCs w:val="22"/>
        </w:rPr>
      </w:pPr>
      <w:r>
        <w:rPr>
          <w:rFonts w:asciiTheme="minorHAnsi" w:hAnsiTheme="minorHAnsi"/>
          <w:sz w:val="22"/>
          <w:szCs w:val="22"/>
        </w:rPr>
        <w:t xml:space="preserve">While </w:t>
      </w:r>
      <w:r w:rsidR="00510892">
        <w:rPr>
          <w:rFonts w:asciiTheme="minorHAnsi" w:hAnsiTheme="minorHAnsi"/>
          <w:sz w:val="22"/>
          <w:szCs w:val="22"/>
        </w:rPr>
        <w:t xml:space="preserve">duplicative insurance </w:t>
      </w:r>
      <w:r>
        <w:rPr>
          <w:rFonts w:asciiTheme="minorHAnsi" w:hAnsiTheme="minorHAnsi"/>
          <w:sz w:val="22"/>
          <w:szCs w:val="22"/>
        </w:rPr>
        <w:t xml:space="preserve">has the potential to make the health system more responsive to people’s needs (for those who hold it), it </w:t>
      </w:r>
      <w:r w:rsidR="00D86928">
        <w:rPr>
          <w:rFonts w:asciiTheme="minorHAnsi" w:hAnsiTheme="minorHAnsi"/>
          <w:sz w:val="22"/>
          <w:szCs w:val="22"/>
        </w:rPr>
        <w:t xml:space="preserve">has several downsides, </w:t>
      </w:r>
      <w:r w:rsidR="00510892">
        <w:rPr>
          <w:rFonts w:asciiTheme="minorHAnsi" w:hAnsiTheme="minorHAnsi"/>
          <w:sz w:val="22"/>
          <w:szCs w:val="22"/>
        </w:rPr>
        <w:t xml:space="preserve">according to the OECD </w:t>
      </w:r>
      <w:r w:rsidR="00D86928">
        <w:rPr>
          <w:rFonts w:asciiTheme="minorHAnsi" w:hAnsiTheme="minorHAnsi"/>
          <w:sz w:val="22"/>
          <w:szCs w:val="22"/>
        </w:rPr>
        <w:t>including:</w:t>
      </w:r>
    </w:p>
    <w:p w:rsidR="00D86928" w:rsidRDefault="00D86928" w:rsidP="00BA2ABA">
      <w:pPr>
        <w:pStyle w:val="NormalWeb"/>
        <w:numPr>
          <w:ilvl w:val="0"/>
          <w:numId w:val="37"/>
        </w:numPr>
        <w:spacing w:after="0" w:line="300" w:lineRule="atLeast"/>
        <w:ind w:left="714" w:hanging="357"/>
        <w:textAlignment w:val="baseline"/>
        <w:rPr>
          <w:rFonts w:asciiTheme="minorHAnsi" w:hAnsiTheme="minorHAnsi"/>
          <w:sz w:val="22"/>
          <w:szCs w:val="22"/>
        </w:rPr>
      </w:pPr>
      <w:r>
        <w:rPr>
          <w:rFonts w:asciiTheme="minorHAnsi" w:hAnsiTheme="minorHAnsi"/>
          <w:sz w:val="22"/>
          <w:szCs w:val="22"/>
        </w:rPr>
        <w:t xml:space="preserve">it </w:t>
      </w:r>
      <w:r w:rsidR="00451A93">
        <w:rPr>
          <w:rFonts w:asciiTheme="minorHAnsi" w:hAnsiTheme="minorHAnsi"/>
          <w:sz w:val="22"/>
          <w:szCs w:val="22"/>
        </w:rPr>
        <w:t>increases inequity</w:t>
      </w:r>
      <w:r>
        <w:rPr>
          <w:rFonts w:asciiTheme="minorHAnsi" w:hAnsiTheme="minorHAnsi"/>
          <w:sz w:val="22"/>
          <w:szCs w:val="22"/>
        </w:rPr>
        <w:t>;</w:t>
      </w:r>
    </w:p>
    <w:p w:rsidR="00D86928" w:rsidRDefault="00451A93" w:rsidP="00BA2ABA">
      <w:pPr>
        <w:pStyle w:val="NormalWeb"/>
        <w:numPr>
          <w:ilvl w:val="0"/>
          <w:numId w:val="37"/>
        </w:numPr>
        <w:spacing w:after="0" w:line="300" w:lineRule="atLeast"/>
        <w:ind w:left="714" w:hanging="357"/>
        <w:textAlignment w:val="baseline"/>
        <w:rPr>
          <w:rFonts w:asciiTheme="minorHAnsi" w:hAnsiTheme="minorHAnsi"/>
          <w:sz w:val="22"/>
          <w:szCs w:val="22"/>
        </w:rPr>
      </w:pPr>
      <w:r>
        <w:rPr>
          <w:rFonts w:asciiTheme="minorHAnsi" w:hAnsiTheme="minorHAnsi"/>
          <w:sz w:val="22"/>
          <w:szCs w:val="22"/>
        </w:rPr>
        <w:t xml:space="preserve">is likely to play a role in diverting resources away from the public sector (especially </w:t>
      </w:r>
      <w:r w:rsidR="00D86928">
        <w:rPr>
          <w:rFonts w:asciiTheme="minorHAnsi" w:hAnsiTheme="minorHAnsi"/>
          <w:sz w:val="22"/>
          <w:szCs w:val="22"/>
        </w:rPr>
        <w:t>if</w:t>
      </w:r>
      <w:r>
        <w:rPr>
          <w:rFonts w:asciiTheme="minorHAnsi" w:hAnsiTheme="minorHAnsi"/>
          <w:sz w:val="22"/>
          <w:szCs w:val="22"/>
        </w:rPr>
        <w:t xml:space="preserve"> </w:t>
      </w:r>
      <w:r w:rsidR="00D86928">
        <w:rPr>
          <w:rFonts w:asciiTheme="minorHAnsi" w:hAnsiTheme="minorHAnsi"/>
          <w:sz w:val="22"/>
          <w:szCs w:val="22"/>
        </w:rPr>
        <w:t>medical specialists are able to work in both the public and private sectors, as they can in Australia);</w:t>
      </w:r>
    </w:p>
    <w:p w:rsidR="00451A93" w:rsidRDefault="00D86928" w:rsidP="00BA2ABA">
      <w:pPr>
        <w:pStyle w:val="NormalWeb"/>
        <w:numPr>
          <w:ilvl w:val="0"/>
          <w:numId w:val="37"/>
        </w:numPr>
        <w:spacing w:after="0" w:line="300" w:lineRule="atLeast"/>
        <w:ind w:left="714" w:hanging="357"/>
        <w:textAlignment w:val="baseline"/>
        <w:rPr>
          <w:rFonts w:asciiTheme="minorHAnsi" w:hAnsiTheme="minorHAnsi"/>
          <w:sz w:val="22"/>
          <w:szCs w:val="22"/>
        </w:rPr>
      </w:pPr>
      <w:r>
        <w:rPr>
          <w:rFonts w:asciiTheme="minorHAnsi" w:hAnsiTheme="minorHAnsi"/>
          <w:sz w:val="22"/>
          <w:szCs w:val="22"/>
        </w:rPr>
        <w:t xml:space="preserve">adds to health expenditure and health service utilisation; and </w:t>
      </w:r>
    </w:p>
    <w:p w:rsidR="00451A93" w:rsidRDefault="00D86928" w:rsidP="00BA2ABA">
      <w:pPr>
        <w:pStyle w:val="NormalWeb"/>
        <w:numPr>
          <w:ilvl w:val="0"/>
          <w:numId w:val="37"/>
        </w:numPr>
        <w:spacing w:after="0" w:line="300" w:lineRule="atLeast"/>
        <w:ind w:left="714" w:hanging="357"/>
        <w:textAlignment w:val="baseline"/>
        <w:rPr>
          <w:rFonts w:asciiTheme="minorHAnsi" w:hAnsiTheme="minorHAnsi"/>
          <w:sz w:val="22"/>
          <w:szCs w:val="22"/>
        </w:rPr>
      </w:pPr>
      <w:proofErr w:type="gramStart"/>
      <w:r>
        <w:rPr>
          <w:rFonts w:asciiTheme="minorHAnsi" w:hAnsiTheme="minorHAnsi"/>
          <w:sz w:val="22"/>
          <w:szCs w:val="22"/>
        </w:rPr>
        <w:t>makes</w:t>
      </w:r>
      <w:proofErr w:type="gramEnd"/>
      <w:r>
        <w:rPr>
          <w:rFonts w:asciiTheme="minorHAnsi" w:hAnsiTheme="minorHAnsi"/>
          <w:sz w:val="22"/>
          <w:szCs w:val="22"/>
        </w:rPr>
        <w:t xml:space="preserve"> little contribution to the overall efficiency of the health system.</w:t>
      </w:r>
      <w:r>
        <w:rPr>
          <w:rStyle w:val="FootnoteReference"/>
          <w:rFonts w:asciiTheme="minorHAnsi" w:hAnsiTheme="minorHAnsi"/>
          <w:sz w:val="22"/>
          <w:szCs w:val="22"/>
        </w:rPr>
        <w:footnoteReference w:id="16"/>
      </w:r>
      <w:r>
        <w:rPr>
          <w:rFonts w:asciiTheme="minorHAnsi" w:hAnsiTheme="minorHAnsi"/>
          <w:sz w:val="22"/>
          <w:szCs w:val="22"/>
        </w:rPr>
        <w:t xml:space="preserve"> </w:t>
      </w:r>
    </w:p>
    <w:p w:rsidR="0020313F" w:rsidRDefault="0020313F" w:rsidP="00BA2ABA">
      <w:pPr>
        <w:autoSpaceDE w:val="0"/>
        <w:autoSpaceDN w:val="0"/>
        <w:adjustRightInd w:val="0"/>
        <w:spacing w:after="0" w:line="240" w:lineRule="auto"/>
        <w:rPr>
          <w:sz w:val="26"/>
          <w:szCs w:val="26"/>
        </w:rPr>
      </w:pPr>
    </w:p>
    <w:p w:rsidR="0047362A" w:rsidRDefault="0047362A">
      <w:pPr>
        <w:rPr>
          <w:rFonts w:cs="Times New Roman"/>
          <w:b/>
        </w:rPr>
      </w:pPr>
      <w:r>
        <w:rPr>
          <w:b/>
        </w:rPr>
        <w:br w:type="page"/>
      </w:r>
    </w:p>
    <w:p w:rsidR="0047362A" w:rsidRPr="00700C55" w:rsidRDefault="0047362A" w:rsidP="0047362A">
      <w:pPr>
        <w:pStyle w:val="NormalWeb"/>
        <w:spacing w:after="0" w:line="300" w:lineRule="atLeast"/>
        <w:textAlignment w:val="baseline"/>
        <w:rPr>
          <w:rFonts w:asciiTheme="minorHAnsi" w:hAnsiTheme="minorHAnsi"/>
          <w:b/>
          <w:sz w:val="22"/>
          <w:szCs w:val="22"/>
        </w:rPr>
      </w:pPr>
      <w:r w:rsidRPr="00700C55">
        <w:rPr>
          <w:rFonts w:asciiTheme="minorHAnsi" w:hAnsiTheme="minorHAnsi"/>
          <w:b/>
          <w:sz w:val="22"/>
          <w:szCs w:val="22"/>
        </w:rPr>
        <w:lastRenderedPageBreak/>
        <w:t>Private health insurance coverage, by type, 2011 (or nearest year)</w:t>
      </w:r>
    </w:p>
    <w:p w:rsidR="0047362A" w:rsidRDefault="0047362A" w:rsidP="0047362A">
      <w:pPr>
        <w:pStyle w:val="NormalWeb"/>
        <w:spacing w:after="300" w:line="300" w:lineRule="atLeast"/>
        <w:textAlignment w:val="baseline"/>
        <w:rPr>
          <w:rFonts w:asciiTheme="minorHAnsi" w:hAnsiTheme="minorHAnsi"/>
          <w:sz w:val="22"/>
          <w:szCs w:val="22"/>
        </w:rPr>
      </w:pPr>
      <w:r>
        <w:rPr>
          <w:noProof/>
        </w:rPr>
        <w:drawing>
          <wp:inline distT="0" distB="0" distL="0" distR="0" wp14:anchorId="4F117546" wp14:editId="6BCCDFC2">
            <wp:extent cx="4596938" cy="406492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362A" w:rsidRDefault="0047362A" w:rsidP="0047362A">
      <w:pPr>
        <w:pStyle w:val="NormalWeb"/>
        <w:spacing w:after="0" w:line="240" w:lineRule="auto"/>
        <w:textAlignment w:val="baseline"/>
        <w:rPr>
          <w:rFonts w:asciiTheme="minorHAnsi" w:hAnsiTheme="minorHAnsi"/>
          <w:sz w:val="16"/>
          <w:szCs w:val="16"/>
        </w:rPr>
      </w:pPr>
      <w:r w:rsidRPr="00700C55">
        <w:rPr>
          <w:rFonts w:asciiTheme="minorHAnsi" w:hAnsiTheme="minorHAnsi"/>
          <w:sz w:val="16"/>
          <w:szCs w:val="16"/>
        </w:rPr>
        <w:t xml:space="preserve">Note: Private health insurance can be </w:t>
      </w:r>
      <w:proofErr w:type="gramStart"/>
      <w:r w:rsidRPr="00700C55">
        <w:rPr>
          <w:rFonts w:asciiTheme="minorHAnsi" w:hAnsiTheme="minorHAnsi"/>
          <w:sz w:val="16"/>
          <w:szCs w:val="16"/>
        </w:rPr>
        <w:t>both complementary</w:t>
      </w:r>
      <w:proofErr w:type="gramEnd"/>
      <w:r w:rsidRPr="00700C55">
        <w:rPr>
          <w:rFonts w:asciiTheme="minorHAnsi" w:hAnsiTheme="minorHAnsi"/>
          <w:sz w:val="16"/>
          <w:szCs w:val="16"/>
        </w:rPr>
        <w:t xml:space="preserve"> and supplementary in Denmark, Korea and New Zealand; and duplicate, complementary and supplementary in Israel.</w:t>
      </w:r>
      <w:r>
        <w:rPr>
          <w:rFonts w:asciiTheme="minorHAnsi" w:hAnsiTheme="minorHAnsi"/>
          <w:sz w:val="16"/>
          <w:szCs w:val="16"/>
        </w:rPr>
        <w:t xml:space="preserve"> </w:t>
      </w:r>
      <w:r>
        <w:rPr>
          <w:rFonts w:asciiTheme="minorHAnsi" w:hAnsiTheme="minorHAnsi"/>
          <w:sz w:val="16"/>
          <w:szCs w:val="16"/>
        </w:rPr>
        <w:br/>
      </w:r>
      <w:r w:rsidRPr="00700C55">
        <w:rPr>
          <w:rFonts w:asciiTheme="minorHAnsi" w:hAnsiTheme="minorHAnsi"/>
          <w:i/>
          <w:sz w:val="16"/>
          <w:szCs w:val="16"/>
        </w:rPr>
        <w:t>Source: OECD Health Statistics 2013</w:t>
      </w:r>
      <w:r w:rsidRPr="00700C55">
        <w:rPr>
          <w:rStyle w:val="FootnoteReference"/>
          <w:rFonts w:asciiTheme="minorHAnsi" w:hAnsiTheme="minorHAnsi"/>
          <w:sz w:val="22"/>
          <w:szCs w:val="22"/>
        </w:rPr>
        <w:footnoteReference w:id="17"/>
      </w:r>
    </w:p>
    <w:p w:rsidR="0047362A" w:rsidRPr="0020313F" w:rsidRDefault="0047362A" w:rsidP="00BA2ABA">
      <w:pPr>
        <w:autoSpaceDE w:val="0"/>
        <w:autoSpaceDN w:val="0"/>
        <w:adjustRightInd w:val="0"/>
        <w:spacing w:after="0" w:line="240" w:lineRule="auto"/>
        <w:rPr>
          <w:sz w:val="26"/>
          <w:szCs w:val="26"/>
        </w:rPr>
      </w:pPr>
    </w:p>
    <w:p w:rsidR="0047362A" w:rsidRDefault="0047362A" w:rsidP="0047362A">
      <w:pPr>
        <w:pStyle w:val="NormalWeb"/>
        <w:spacing w:after="120" w:line="300" w:lineRule="atLeast"/>
        <w:textAlignment w:val="baseline"/>
        <w:rPr>
          <w:rFonts w:asciiTheme="minorHAnsi" w:hAnsiTheme="minorHAnsi"/>
          <w:sz w:val="22"/>
          <w:szCs w:val="22"/>
        </w:rPr>
      </w:pPr>
      <w:r>
        <w:rPr>
          <w:rFonts w:asciiTheme="minorHAnsi" w:hAnsiTheme="minorHAnsi"/>
          <w:sz w:val="22"/>
          <w:szCs w:val="22"/>
        </w:rPr>
        <w:t>The Industry Commission identified the high degree of duplication in the Australian health insurance system as a problem more than a decade ago. The report clearly explained the problem:</w:t>
      </w:r>
    </w:p>
    <w:p w:rsidR="0047362A" w:rsidRPr="00B2143A" w:rsidRDefault="0047362A" w:rsidP="0047362A">
      <w:pPr>
        <w:autoSpaceDE w:val="0"/>
        <w:autoSpaceDN w:val="0"/>
        <w:adjustRightInd w:val="0"/>
        <w:spacing w:after="0" w:line="240" w:lineRule="auto"/>
        <w:ind w:left="720"/>
        <w:rPr>
          <w:rFonts w:cs="Times New Roman"/>
          <w:i/>
          <w:sz w:val="20"/>
          <w:szCs w:val="20"/>
        </w:rPr>
      </w:pPr>
      <w:r w:rsidRPr="00B2143A">
        <w:rPr>
          <w:rFonts w:cs="Times New Roman"/>
          <w:i/>
          <w:sz w:val="20"/>
          <w:szCs w:val="20"/>
        </w:rPr>
        <w:t xml:space="preserve">“Through supporting private health insurance, and by providing financial incentives in response to this pressure, the Government is endeavouring to switch health funding from the public sector to private sources. This process is also aided by the expenditure constraints imposed on the public health system in recent years, reflected in constrained access to public hospitals. </w:t>
      </w:r>
    </w:p>
    <w:p w:rsidR="0047362A" w:rsidRPr="00B2143A" w:rsidRDefault="0047362A" w:rsidP="0047362A">
      <w:pPr>
        <w:autoSpaceDE w:val="0"/>
        <w:autoSpaceDN w:val="0"/>
        <w:adjustRightInd w:val="0"/>
        <w:spacing w:after="0" w:line="240" w:lineRule="auto"/>
        <w:rPr>
          <w:rFonts w:cs="Times New Roman"/>
        </w:rPr>
      </w:pPr>
    </w:p>
    <w:p w:rsidR="0047362A" w:rsidRPr="00B2143A" w:rsidRDefault="0047362A" w:rsidP="0047362A">
      <w:pPr>
        <w:autoSpaceDE w:val="0"/>
        <w:autoSpaceDN w:val="0"/>
        <w:adjustRightInd w:val="0"/>
        <w:spacing w:after="0" w:line="240" w:lineRule="auto"/>
        <w:ind w:left="720"/>
        <w:rPr>
          <w:rFonts w:cs="Times New Roman"/>
          <w:i/>
          <w:sz w:val="20"/>
          <w:szCs w:val="20"/>
        </w:rPr>
      </w:pPr>
      <w:r w:rsidRPr="00B2143A">
        <w:rPr>
          <w:rFonts w:cs="Times New Roman"/>
          <w:i/>
          <w:sz w:val="20"/>
          <w:szCs w:val="20"/>
        </w:rPr>
        <w:t>At the same time, Government policy supports universal access under Medicare, and private health insurance remains voluntary.”</w:t>
      </w:r>
    </w:p>
    <w:p w:rsidR="0047362A" w:rsidRDefault="0047362A" w:rsidP="0047362A">
      <w:pPr>
        <w:autoSpaceDE w:val="0"/>
        <w:autoSpaceDN w:val="0"/>
        <w:adjustRightInd w:val="0"/>
        <w:spacing w:after="0" w:line="240" w:lineRule="auto"/>
        <w:rPr>
          <w:rFonts w:ascii="Times New Roman" w:hAnsi="Times New Roman" w:cs="Times New Roman"/>
          <w:sz w:val="26"/>
          <w:szCs w:val="26"/>
        </w:rPr>
      </w:pPr>
    </w:p>
    <w:p w:rsidR="0047362A" w:rsidRDefault="0047362A" w:rsidP="0047362A">
      <w:pPr>
        <w:autoSpaceDE w:val="0"/>
        <w:autoSpaceDN w:val="0"/>
        <w:adjustRightInd w:val="0"/>
        <w:spacing w:after="0" w:line="240" w:lineRule="auto"/>
        <w:rPr>
          <w:rFonts w:cs="Times New Roman"/>
        </w:rPr>
      </w:pPr>
      <w:r w:rsidRPr="00B2143A">
        <w:rPr>
          <w:rFonts w:cs="Times New Roman"/>
        </w:rPr>
        <w:t>The report went on to point out:</w:t>
      </w:r>
    </w:p>
    <w:p w:rsidR="0047362A" w:rsidRPr="00B2143A" w:rsidRDefault="0047362A" w:rsidP="0047362A">
      <w:pPr>
        <w:autoSpaceDE w:val="0"/>
        <w:autoSpaceDN w:val="0"/>
        <w:adjustRightInd w:val="0"/>
        <w:spacing w:after="0" w:line="240" w:lineRule="auto"/>
        <w:rPr>
          <w:rFonts w:cs="Times New Roman"/>
        </w:rPr>
      </w:pPr>
    </w:p>
    <w:p w:rsidR="0047362A" w:rsidRPr="00B2143A" w:rsidRDefault="0047362A" w:rsidP="0047362A">
      <w:pPr>
        <w:autoSpaceDE w:val="0"/>
        <w:autoSpaceDN w:val="0"/>
        <w:adjustRightInd w:val="0"/>
        <w:spacing w:after="0" w:line="240" w:lineRule="auto"/>
        <w:ind w:left="360"/>
        <w:rPr>
          <w:rFonts w:cs="Times New Roman"/>
          <w:i/>
          <w:sz w:val="20"/>
          <w:szCs w:val="20"/>
        </w:rPr>
      </w:pPr>
      <w:r w:rsidRPr="00B2143A">
        <w:rPr>
          <w:rFonts w:cs="Times New Roman"/>
          <w:i/>
          <w:sz w:val="20"/>
          <w:szCs w:val="20"/>
        </w:rPr>
        <w:t>“As a consequence, the dual role currently being served by private health insurance poses some difficulties for its regulation:</w:t>
      </w:r>
    </w:p>
    <w:p w:rsidR="0047362A" w:rsidRPr="00B2143A" w:rsidRDefault="0047362A" w:rsidP="0047362A">
      <w:pPr>
        <w:pStyle w:val="ListParagraph"/>
        <w:numPr>
          <w:ilvl w:val="0"/>
          <w:numId w:val="38"/>
        </w:numPr>
        <w:autoSpaceDE w:val="0"/>
        <w:autoSpaceDN w:val="0"/>
        <w:adjustRightInd w:val="0"/>
        <w:spacing w:after="0" w:line="240" w:lineRule="auto"/>
        <w:ind w:left="1080"/>
        <w:rPr>
          <w:rFonts w:cs="Times New Roman"/>
          <w:i/>
          <w:sz w:val="20"/>
          <w:szCs w:val="20"/>
        </w:rPr>
      </w:pPr>
      <w:r w:rsidRPr="00B2143A">
        <w:rPr>
          <w:rFonts w:cs="Times New Roman"/>
          <w:i/>
          <w:sz w:val="20"/>
          <w:szCs w:val="20"/>
          <w:lang w:eastAsia="en-AU"/>
        </w:rPr>
        <w:t>the objective of displacing public funding under Medicare can be seen as providing justification for some form of community rating of private health insurance; but</w:t>
      </w:r>
    </w:p>
    <w:p w:rsidR="0047362A" w:rsidRPr="00B2143A" w:rsidRDefault="0047362A" w:rsidP="0047362A">
      <w:pPr>
        <w:pStyle w:val="ListParagraph"/>
        <w:numPr>
          <w:ilvl w:val="0"/>
          <w:numId w:val="38"/>
        </w:numPr>
        <w:autoSpaceDE w:val="0"/>
        <w:autoSpaceDN w:val="0"/>
        <w:adjustRightInd w:val="0"/>
        <w:spacing w:after="0" w:line="240" w:lineRule="auto"/>
        <w:ind w:left="1080"/>
        <w:rPr>
          <w:rFonts w:cs="Times New Roman"/>
          <w:i/>
          <w:sz w:val="20"/>
          <w:szCs w:val="20"/>
        </w:rPr>
      </w:pPr>
      <w:proofErr w:type="gramStart"/>
      <w:r w:rsidRPr="00B2143A">
        <w:rPr>
          <w:rFonts w:cs="Times New Roman"/>
          <w:i/>
          <w:sz w:val="20"/>
          <w:szCs w:val="20"/>
          <w:lang w:eastAsia="en-AU"/>
        </w:rPr>
        <w:t>the</w:t>
      </w:r>
      <w:proofErr w:type="gramEnd"/>
      <w:r w:rsidRPr="00B2143A">
        <w:rPr>
          <w:rFonts w:cs="Times New Roman"/>
          <w:i/>
          <w:sz w:val="20"/>
          <w:szCs w:val="20"/>
          <w:lang w:eastAsia="en-AU"/>
        </w:rPr>
        <w:t xml:space="preserve"> objective of merely topping up Medicare funding (with optional extras), would seem to provide little justification for community rating of private health insurance.”</w:t>
      </w:r>
    </w:p>
    <w:p w:rsidR="0047362A" w:rsidRDefault="0047362A" w:rsidP="0047362A">
      <w:pPr>
        <w:autoSpaceDE w:val="0"/>
        <w:autoSpaceDN w:val="0"/>
        <w:adjustRightInd w:val="0"/>
        <w:spacing w:after="0" w:line="240" w:lineRule="auto"/>
        <w:rPr>
          <w:rFonts w:ascii="Times New Roman" w:hAnsi="Times New Roman" w:cs="Times New Roman"/>
          <w:sz w:val="26"/>
          <w:szCs w:val="26"/>
        </w:rPr>
      </w:pPr>
    </w:p>
    <w:p w:rsidR="0047362A" w:rsidRPr="00B2143A" w:rsidRDefault="0047362A" w:rsidP="0047362A">
      <w:pPr>
        <w:autoSpaceDE w:val="0"/>
        <w:autoSpaceDN w:val="0"/>
        <w:adjustRightInd w:val="0"/>
        <w:spacing w:after="0" w:line="240" w:lineRule="auto"/>
        <w:rPr>
          <w:rFonts w:cs="Times New Roman"/>
        </w:rPr>
      </w:pPr>
      <w:r w:rsidRPr="00B2143A">
        <w:rPr>
          <w:rFonts w:cs="Times New Roman"/>
        </w:rPr>
        <w:lastRenderedPageBreak/>
        <w:t>The report concluded:</w:t>
      </w:r>
    </w:p>
    <w:p w:rsidR="0047362A" w:rsidRDefault="0047362A" w:rsidP="0047362A">
      <w:pPr>
        <w:autoSpaceDE w:val="0"/>
        <w:autoSpaceDN w:val="0"/>
        <w:adjustRightInd w:val="0"/>
        <w:spacing w:after="0" w:line="240" w:lineRule="auto"/>
        <w:rPr>
          <w:rFonts w:ascii="Times New Roman" w:hAnsi="Times New Roman" w:cs="Times New Roman"/>
          <w:sz w:val="26"/>
          <w:szCs w:val="26"/>
        </w:rPr>
      </w:pPr>
    </w:p>
    <w:p w:rsidR="0047362A" w:rsidRPr="00B2143A" w:rsidRDefault="0047362A" w:rsidP="0047362A">
      <w:pPr>
        <w:autoSpaceDE w:val="0"/>
        <w:autoSpaceDN w:val="0"/>
        <w:adjustRightInd w:val="0"/>
        <w:spacing w:after="0" w:line="240" w:lineRule="auto"/>
        <w:ind w:left="720"/>
        <w:rPr>
          <w:i/>
          <w:sz w:val="20"/>
          <w:szCs w:val="20"/>
        </w:rPr>
      </w:pPr>
      <w:r w:rsidRPr="00B2143A">
        <w:rPr>
          <w:rFonts w:cs="Times New Roman"/>
          <w:i/>
          <w:sz w:val="20"/>
          <w:szCs w:val="20"/>
        </w:rPr>
        <w:t>“There is, at present, an inherent tension between the policies of support for universal access under Medicare, and support for voluntary, community rated, private health insurance. Resolution of such conflicts would seem to require changes to the overall settings for health care policy in Australia.”</w:t>
      </w:r>
      <w:r>
        <w:rPr>
          <w:rStyle w:val="FootnoteReference"/>
          <w:rFonts w:cs="Times New Roman"/>
          <w:i/>
          <w:sz w:val="20"/>
          <w:szCs w:val="20"/>
        </w:rPr>
        <w:footnoteReference w:id="18"/>
      </w:r>
    </w:p>
    <w:p w:rsidR="0047362A" w:rsidRPr="0020313F" w:rsidRDefault="0047362A" w:rsidP="0047362A">
      <w:pPr>
        <w:autoSpaceDE w:val="0"/>
        <w:autoSpaceDN w:val="0"/>
        <w:adjustRightInd w:val="0"/>
        <w:spacing w:after="0" w:line="240" w:lineRule="auto"/>
        <w:rPr>
          <w:sz w:val="26"/>
          <w:szCs w:val="26"/>
        </w:rPr>
      </w:pPr>
    </w:p>
    <w:p w:rsidR="0047362A" w:rsidRPr="00D86928" w:rsidRDefault="0047362A" w:rsidP="0047362A">
      <w:pPr>
        <w:pStyle w:val="NormalWeb"/>
        <w:spacing w:after="120" w:line="300" w:lineRule="atLeast"/>
        <w:textAlignment w:val="baseline"/>
        <w:rPr>
          <w:rFonts w:asciiTheme="minorHAnsi" w:hAnsiTheme="minorHAnsi"/>
          <w:sz w:val="22"/>
          <w:szCs w:val="22"/>
        </w:rPr>
      </w:pPr>
      <w:r>
        <w:rPr>
          <w:rFonts w:asciiTheme="minorHAnsi" w:hAnsiTheme="minorHAnsi"/>
          <w:sz w:val="22"/>
          <w:szCs w:val="22"/>
        </w:rPr>
        <w:t xml:space="preserve">There have been several major changes to health insurance introduced since then (including the introduction and subsequent means-testing of rebates, and the introduction of Life Time Health Cover), but the fundamental challenge of clarifying the role of private health insurance in the context of the compulsory Medicare scheme remains and should be a priority for consideration as part of this inquiry into competition policies. </w:t>
      </w:r>
    </w:p>
    <w:p w:rsidR="0047362A" w:rsidRDefault="00600F6D" w:rsidP="0047362A">
      <w:pPr>
        <w:pStyle w:val="NormalWeb"/>
        <w:spacing w:after="300" w:line="300" w:lineRule="atLeast"/>
        <w:textAlignment w:val="baseline"/>
        <w:rPr>
          <w:rFonts w:asciiTheme="minorHAnsi" w:hAnsiTheme="minorHAnsi"/>
          <w:sz w:val="22"/>
          <w:szCs w:val="22"/>
        </w:rPr>
      </w:pPr>
      <w:r>
        <w:rPr>
          <w:rFonts w:asciiTheme="minorHAnsi" w:hAnsiTheme="minorHAnsi"/>
          <w:sz w:val="22"/>
          <w:szCs w:val="22"/>
        </w:rPr>
        <w:t>In addition</w:t>
      </w:r>
      <w:r w:rsidR="0047362A">
        <w:rPr>
          <w:rFonts w:asciiTheme="minorHAnsi" w:hAnsiTheme="minorHAnsi"/>
          <w:sz w:val="22"/>
          <w:szCs w:val="22"/>
        </w:rPr>
        <w:t xml:space="preserve"> to the duplicative arrangements between Medicare and private health insurers</w:t>
      </w:r>
      <w:r w:rsidR="00DF5044" w:rsidRPr="00BA2ABA">
        <w:rPr>
          <w:rFonts w:asciiTheme="minorHAnsi" w:hAnsiTheme="minorHAnsi"/>
          <w:sz w:val="22"/>
          <w:szCs w:val="22"/>
        </w:rPr>
        <w:t xml:space="preserve">, there is competition between </w:t>
      </w:r>
      <w:r w:rsidR="00DF5044">
        <w:rPr>
          <w:rFonts w:asciiTheme="minorHAnsi" w:hAnsiTheme="minorHAnsi"/>
          <w:sz w:val="22"/>
          <w:szCs w:val="22"/>
        </w:rPr>
        <w:t xml:space="preserve">private health insurers </w:t>
      </w:r>
      <w:r w:rsidR="00DF5044" w:rsidRPr="00BA2ABA">
        <w:rPr>
          <w:rFonts w:asciiTheme="minorHAnsi" w:hAnsiTheme="minorHAnsi"/>
          <w:sz w:val="22"/>
          <w:szCs w:val="22"/>
        </w:rPr>
        <w:t>for market share</w:t>
      </w:r>
      <w:r w:rsidR="009163CA">
        <w:rPr>
          <w:rFonts w:asciiTheme="minorHAnsi" w:hAnsiTheme="minorHAnsi"/>
          <w:sz w:val="22"/>
          <w:szCs w:val="22"/>
        </w:rPr>
        <w:t>,</w:t>
      </w:r>
      <w:r w:rsidR="00DF5044" w:rsidRPr="00BA2ABA">
        <w:rPr>
          <w:rFonts w:asciiTheme="minorHAnsi" w:hAnsiTheme="minorHAnsi"/>
          <w:sz w:val="22"/>
          <w:szCs w:val="22"/>
        </w:rPr>
        <w:t xml:space="preserve"> based on insurance products, premium prices, benefits, and service. </w:t>
      </w:r>
      <w:r w:rsidR="00A27AE1">
        <w:rPr>
          <w:rFonts w:asciiTheme="minorHAnsi" w:hAnsiTheme="minorHAnsi"/>
          <w:sz w:val="22"/>
          <w:szCs w:val="22"/>
        </w:rPr>
        <w:t>However</w:t>
      </w:r>
      <w:r>
        <w:rPr>
          <w:rFonts w:asciiTheme="minorHAnsi" w:hAnsiTheme="minorHAnsi"/>
          <w:sz w:val="22"/>
          <w:szCs w:val="22"/>
        </w:rPr>
        <w:t>, despite this competition,</w:t>
      </w:r>
      <w:r w:rsidR="00A27AE1">
        <w:rPr>
          <w:rFonts w:asciiTheme="minorHAnsi" w:hAnsiTheme="minorHAnsi"/>
          <w:sz w:val="22"/>
          <w:szCs w:val="22"/>
        </w:rPr>
        <w:t xml:space="preserve"> the Private Health Insurance Administration Council (</w:t>
      </w:r>
      <w:r w:rsidR="00845EE6">
        <w:rPr>
          <w:rFonts w:asciiTheme="minorHAnsi" w:hAnsiTheme="minorHAnsi"/>
          <w:sz w:val="22"/>
          <w:szCs w:val="22"/>
        </w:rPr>
        <w:t>PHIAC</w:t>
      </w:r>
      <w:r w:rsidR="00A27AE1">
        <w:rPr>
          <w:rFonts w:asciiTheme="minorHAnsi" w:hAnsiTheme="minorHAnsi"/>
          <w:sz w:val="22"/>
          <w:szCs w:val="22"/>
        </w:rPr>
        <w:t>)</w:t>
      </w:r>
      <w:r w:rsidR="00845EE6">
        <w:rPr>
          <w:rFonts w:asciiTheme="minorHAnsi" w:hAnsiTheme="minorHAnsi"/>
          <w:sz w:val="22"/>
          <w:szCs w:val="22"/>
        </w:rPr>
        <w:t xml:space="preserve"> states that the industry continues to be dominated by a small number of large insurers</w:t>
      </w:r>
      <w:r w:rsidR="0047362A">
        <w:rPr>
          <w:rFonts w:asciiTheme="minorHAnsi" w:hAnsiTheme="minorHAnsi"/>
          <w:sz w:val="22"/>
          <w:szCs w:val="22"/>
        </w:rPr>
        <w:t>, with the two largest providers representing 56 per cent of all policies and the top 5 representing 82 per cent of the market.</w:t>
      </w:r>
      <w:r w:rsidR="0047362A" w:rsidRPr="00FD118E">
        <w:rPr>
          <w:rFonts w:asciiTheme="minorHAnsi" w:hAnsiTheme="minorHAnsi"/>
          <w:sz w:val="22"/>
          <w:szCs w:val="22"/>
          <w:vertAlign w:val="superscript"/>
        </w:rPr>
        <w:footnoteReference w:id="19"/>
      </w:r>
    </w:p>
    <w:p w:rsidR="00DF5044" w:rsidRPr="00BA2ABA" w:rsidRDefault="00CC575C" w:rsidP="00BA2ABA">
      <w:pPr>
        <w:pStyle w:val="NormalWeb"/>
        <w:spacing w:after="300" w:line="300" w:lineRule="atLeast"/>
        <w:textAlignment w:val="baseline"/>
        <w:rPr>
          <w:rFonts w:asciiTheme="minorHAnsi" w:hAnsiTheme="minorHAnsi"/>
          <w:sz w:val="22"/>
          <w:szCs w:val="22"/>
        </w:rPr>
      </w:pPr>
      <w:r>
        <w:rPr>
          <w:rFonts w:asciiTheme="minorHAnsi" w:hAnsiTheme="minorHAnsi"/>
          <w:sz w:val="22"/>
          <w:szCs w:val="22"/>
        </w:rPr>
        <w:t xml:space="preserve">Government intervention in the private health insurance market is also </w:t>
      </w:r>
      <w:r w:rsidR="00EF15DC">
        <w:rPr>
          <w:rFonts w:asciiTheme="minorHAnsi" w:hAnsiTheme="minorHAnsi"/>
          <w:sz w:val="22"/>
          <w:szCs w:val="22"/>
        </w:rPr>
        <w:t>relatively high</w:t>
      </w:r>
      <w:r>
        <w:rPr>
          <w:rFonts w:asciiTheme="minorHAnsi" w:hAnsiTheme="minorHAnsi"/>
          <w:sz w:val="22"/>
          <w:szCs w:val="22"/>
        </w:rPr>
        <w:t>, compared with many other countries</w:t>
      </w:r>
      <w:r w:rsidR="00056B13">
        <w:rPr>
          <w:rFonts w:asciiTheme="minorHAnsi" w:hAnsiTheme="minorHAnsi"/>
          <w:sz w:val="22"/>
          <w:szCs w:val="22"/>
        </w:rPr>
        <w:t>.</w:t>
      </w:r>
      <w:r w:rsidR="0047362A">
        <w:rPr>
          <w:rStyle w:val="FootnoteReference"/>
          <w:rFonts w:asciiTheme="minorHAnsi" w:hAnsiTheme="minorHAnsi"/>
          <w:sz w:val="22"/>
          <w:szCs w:val="22"/>
        </w:rPr>
        <w:footnoteReference w:id="20"/>
      </w:r>
      <w:r w:rsidR="00056B13">
        <w:rPr>
          <w:rFonts w:asciiTheme="minorHAnsi" w:hAnsiTheme="minorHAnsi"/>
          <w:sz w:val="22"/>
          <w:szCs w:val="22"/>
        </w:rPr>
        <w:t xml:space="preserve"> </w:t>
      </w:r>
      <w:r w:rsidR="00DF5044" w:rsidRPr="00BA2ABA">
        <w:rPr>
          <w:rFonts w:asciiTheme="minorHAnsi" w:hAnsiTheme="minorHAnsi"/>
          <w:sz w:val="22"/>
          <w:szCs w:val="22"/>
        </w:rPr>
        <w:t xml:space="preserve">The government </w:t>
      </w:r>
      <w:r>
        <w:rPr>
          <w:rFonts w:asciiTheme="minorHAnsi" w:hAnsiTheme="minorHAnsi"/>
          <w:sz w:val="22"/>
          <w:szCs w:val="22"/>
        </w:rPr>
        <w:t xml:space="preserve">intervenes by controlling premium increases, </w:t>
      </w:r>
      <w:r w:rsidR="00EF15DC" w:rsidRPr="00BA2ABA">
        <w:rPr>
          <w:rFonts w:asciiTheme="minorHAnsi" w:hAnsiTheme="minorHAnsi"/>
          <w:sz w:val="22"/>
          <w:szCs w:val="22"/>
        </w:rPr>
        <w:t xml:space="preserve">providing </w:t>
      </w:r>
      <w:r w:rsidR="00DF5044" w:rsidRPr="00BA2ABA">
        <w:rPr>
          <w:rFonts w:asciiTheme="minorHAnsi" w:hAnsiTheme="minorHAnsi"/>
          <w:sz w:val="22"/>
          <w:szCs w:val="22"/>
        </w:rPr>
        <w:t>rebate</w:t>
      </w:r>
      <w:r w:rsidR="00EF15DC" w:rsidRPr="00BA2ABA">
        <w:rPr>
          <w:rFonts w:asciiTheme="minorHAnsi" w:hAnsiTheme="minorHAnsi"/>
          <w:sz w:val="22"/>
          <w:szCs w:val="22"/>
        </w:rPr>
        <w:t>s</w:t>
      </w:r>
      <w:r w:rsidR="00DF5044" w:rsidRPr="00BA2ABA">
        <w:rPr>
          <w:rFonts w:asciiTheme="minorHAnsi" w:hAnsiTheme="minorHAnsi"/>
          <w:sz w:val="22"/>
          <w:szCs w:val="22"/>
        </w:rPr>
        <w:t xml:space="preserve"> to </w:t>
      </w:r>
      <w:r w:rsidR="00EF15DC" w:rsidRPr="00BA2ABA">
        <w:rPr>
          <w:rFonts w:asciiTheme="minorHAnsi" w:hAnsiTheme="minorHAnsi"/>
          <w:sz w:val="22"/>
          <w:szCs w:val="22"/>
        </w:rPr>
        <w:t xml:space="preserve">some </w:t>
      </w:r>
      <w:r w:rsidR="00DF5044" w:rsidRPr="00BA2ABA">
        <w:rPr>
          <w:rFonts w:asciiTheme="minorHAnsi" w:hAnsiTheme="minorHAnsi"/>
          <w:sz w:val="22"/>
          <w:szCs w:val="22"/>
        </w:rPr>
        <w:t>people</w:t>
      </w:r>
      <w:r w:rsidR="00EF15DC" w:rsidRPr="00BA2ABA">
        <w:rPr>
          <w:rFonts w:asciiTheme="minorHAnsi" w:hAnsiTheme="minorHAnsi"/>
          <w:sz w:val="22"/>
          <w:szCs w:val="22"/>
        </w:rPr>
        <w:t>,</w:t>
      </w:r>
      <w:r w:rsidR="00DF5044" w:rsidRPr="00BA2ABA">
        <w:rPr>
          <w:rFonts w:asciiTheme="minorHAnsi" w:hAnsiTheme="minorHAnsi"/>
          <w:sz w:val="22"/>
          <w:szCs w:val="22"/>
        </w:rPr>
        <w:t xml:space="preserve"> regulati</w:t>
      </w:r>
      <w:r w:rsidR="00EF15DC" w:rsidRPr="00BA2ABA">
        <w:rPr>
          <w:rFonts w:asciiTheme="minorHAnsi" w:hAnsiTheme="minorHAnsi"/>
          <w:sz w:val="22"/>
          <w:szCs w:val="22"/>
        </w:rPr>
        <w:t>ng</w:t>
      </w:r>
      <w:r w:rsidR="00DF5044" w:rsidRPr="00BA2ABA">
        <w:rPr>
          <w:rFonts w:asciiTheme="minorHAnsi" w:hAnsiTheme="minorHAnsi"/>
          <w:sz w:val="22"/>
          <w:szCs w:val="22"/>
        </w:rPr>
        <w:t xml:space="preserve"> capital reserves and financial solvency</w:t>
      </w:r>
      <w:r w:rsidR="00EF15DC" w:rsidRPr="00BA2ABA">
        <w:rPr>
          <w:rFonts w:asciiTheme="minorHAnsi" w:hAnsiTheme="minorHAnsi"/>
          <w:sz w:val="22"/>
          <w:szCs w:val="22"/>
        </w:rPr>
        <w:t xml:space="preserve">, setting </w:t>
      </w:r>
      <w:r w:rsidR="00DF5044" w:rsidRPr="00BA2ABA">
        <w:rPr>
          <w:rFonts w:asciiTheme="minorHAnsi" w:hAnsiTheme="minorHAnsi"/>
          <w:sz w:val="22"/>
          <w:szCs w:val="22"/>
        </w:rPr>
        <w:t>m</w:t>
      </w:r>
      <w:r w:rsidR="00EF15DC" w:rsidRPr="00BA2ABA">
        <w:rPr>
          <w:rFonts w:asciiTheme="minorHAnsi" w:hAnsiTheme="minorHAnsi"/>
          <w:sz w:val="22"/>
          <w:szCs w:val="22"/>
        </w:rPr>
        <w:t xml:space="preserve">inimum benefits levels, controlling </w:t>
      </w:r>
      <w:r w:rsidR="00DF5044" w:rsidRPr="00BA2ABA">
        <w:rPr>
          <w:rFonts w:asciiTheme="minorHAnsi" w:hAnsiTheme="minorHAnsi"/>
          <w:sz w:val="22"/>
          <w:szCs w:val="22"/>
        </w:rPr>
        <w:t>premium increases and the product range that funds offer. Private health insurance funds in Australia are also prevented from discriminating between people on the basis of their health, their age (other than age at entry for Lifetime Health Cover), gender, race, sexual orientation, state of health, religion, or the size of their family.</w:t>
      </w:r>
      <w:r w:rsidR="00953118">
        <w:rPr>
          <w:rFonts w:asciiTheme="minorHAnsi" w:hAnsiTheme="minorHAnsi"/>
          <w:sz w:val="22"/>
          <w:szCs w:val="22"/>
        </w:rPr>
        <w:t xml:space="preserve"> The community rating principle, as it is known, has been a longstanding but contested feature of the system.</w:t>
      </w:r>
      <w:r w:rsidR="00953118">
        <w:rPr>
          <w:rStyle w:val="FootnoteReference"/>
          <w:rFonts w:asciiTheme="minorHAnsi" w:hAnsiTheme="minorHAnsi"/>
          <w:sz w:val="22"/>
          <w:szCs w:val="22"/>
        </w:rPr>
        <w:footnoteReference w:id="21"/>
      </w:r>
      <w:r w:rsidR="00953118">
        <w:rPr>
          <w:rFonts w:asciiTheme="minorHAnsi" w:hAnsiTheme="minorHAnsi"/>
          <w:sz w:val="22"/>
          <w:szCs w:val="22"/>
        </w:rPr>
        <w:t xml:space="preserve"> </w:t>
      </w:r>
    </w:p>
    <w:p w:rsidR="00120C09" w:rsidRDefault="00120C09" w:rsidP="00120C09">
      <w:pPr>
        <w:pStyle w:val="NormalWeb"/>
        <w:spacing w:after="0"/>
        <w:textAlignment w:val="baseline"/>
        <w:rPr>
          <w:rFonts w:asciiTheme="minorHAnsi" w:hAnsiTheme="minorHAnsi"/>
          <w:sz w:val="22"/>
          <w:szCs w:val="22"/>
        </w:rPr>
      </w:pPr>
      <w:r w:rsidRPr="00B2143A">
        <w:rPr>
          <w:rFonts w:asciiTheme="minorHAnsi" w:hAnsiTheme="minorHAnsi"/>
          <w:sz w:val="22"/>
          <w:szCs w:val="22"/>
        </w:rPr>
        <w:t xml:space="preserve">One of the main reasons funds cannot easily break free from this regulatory environment is that they only have a limited capacity to control the factors driving up premiums. According to a 2005 Access Economics report, the private funds are essentially passive payers in the insurance market as they simply pass through to members the costs they incur, for example private hospital accommodation charges and medical fees. Even though there is some evidence that funds are beginning to take a more active role by focusing on prevention and health outcomes, in a free </w:t>
      </w:r>
      <w:r w:rsidRPr="00B2143A">
        <w:rPr>
          <w:rFonts w:asciiTheme="minorHAnsi" w:hAnsiTheme="minorHAnsi"/>
          <w:sz w:val="22"/>
          <w:szCs w:val="22"/>
        </w:rPr>
        <w:lastRenderedPageBreak/>
        <w:t>market, some of the smaller funds with lower capital reserves would struggle to remain financially viable if they were forced to compete.</w:t>
      </w:r>
      <w:r w:rsidRPr="004D38AC">
        <w:rPr>
          <w:rFonts w:asciiTheme="minorHAnsi" w:hAnsiTheme="minorHAnsi"/>
          <w:sz w:val="22"/>
          <w:szCs w:val="22"/>
          <w:vertAlign w:val="superscript"/>
        </w:rPr>
        <w:footnoteReference w:id="22"/>
      </w:r>
      <w:r w:rsidRPr="004D38AC">
        <w:rPr>
          <w:rFonts w:asciiTheme="minorHAnsi" w:hAnsiTheme="minorHAnsi"/>
          <w:sz w:val="22"/>
          <w:szCs w:val="22"/>
          <w:vertAlign w:val="superscript"/>
        </w:rPr>
        <w:t xml:space="preserve"> </w:t>
      </w:r>
    </w:p>
    <w:p w:rsidR="00120C09" w:rsidRDefault="00120C09" w:rsidP="00120C09">
      <w:pPr>
        <w:pStyle w:val="NormalWeb"/>
        <w:spacing w:after="0"/>
        <w:textAlignment w:val="baseline"/>
        <w:rPr>
          <w:rFonts w:asciiTheme="minorHAnsi" w:hAnsiTheme="minorHAnsi"/>
          <w:sz w:val="22"/>
          <w:szCs w:val="22"/>
        </w:rPr>
      </w:pPr>
    </w:p>
    <w:p w:rsidR="00600F6D" w:rsidRPr="00D86928" w:rsidRDefault="00994769" w:rsidP="00CC575C">
      <w:pPr>
        <w:pStyle w:val="NormalWeb"/>
        <w:spacing w:after="300" w:line="300" w:lineRule="atLeast"/>
        <w:textAlignment w:val="baseline"/>
        <w:rPr>
          <w:rFonts w:asciiTheme="minorHAnsi" w:hAnsiTheme="minorHAnsi"/>
          <w:sz w:val="22"/>
          <w:szCs w:val="22"/>
        </w:rPr>
      </w:pPr>
      <w:r>
        <w:rPr>
          <w:rFonts w:asciiTheme="minorHAnsi" w:hAnsiTheme="minorHAnsi"/>
          <w:sz w:val="22"/>
          <w:szCs w:val="22"/>
        </w:rPr>
        <w:t xml:space="preserve">The AHHA supports the notion of encouraging competition in the private health insurance market, </w:t>
      </w:r>
      <w:r w:rsidR="009163CA">
        <w:rPr>
          <w:rFonts w:asciiTheme="minorHAnsi" w:hAnsiTheme="minorHAnsi"/>
          <w:sz w:val="22"/>
          <w:szCs w:val="22"/>
        </w:rPr>
        <w:t>to the extent that</w:t>
      </w:r>
      <w:r>
        <w:rPr>
          <w:rFonts w:asciiTheme="minorHAnsi" w:hAnsiTheme="minorHAnsi"/>
          <w:sz w:val="22"/>
          <w:szCs w:val="22"/>
        </w:rPr>
        <w:t xml:space="preserve"> </w:t>
      </w:r>
      <w:r w:rsidR="0056421A">
        <w:rPr>
          <w:rFonts w:asciiTheme="minorHAnsi" w:hAnsiTheme="minorHAnsi"/>
          <w:sz w:val="22"/>
          <w:szCs w:val="22"/>
        </w:rPr>
        <w:t>it</w:t>
      </w:r>
      <w:r>
        <w:rPr>
          <w:rFonts w:asciiTheme="minorHAnsi" w:hAnsiTheme="minorHAnsi"/>
          <w:sz w:val="22"/>
          <w:szCs w:val="22"/>
        </w:rPr>
        <w:t xml:space="preserve"> deliver</w:t>
      </w:r>
      <w:r w:rsidR="0056421A">
        <w:rPr>
          <w:rFonts w:asciiTheme="minorHAnsi" w:hAnsiTheme="minorHAnsi"/>
          <w:sz w:val="22"/>
          <w:szCs w:val="22"/>
        </w:rPr>
        <w:t>s</w:t>
      </w:r>
      <w:r>
        <w:rPr>
          <w:rFonts w:asciiTheme="minorHAnsi" w:hAnsiTheme="minorHAnsi"/>
          <w:sz w:val="22"/>
          <w:szCs w:val="22"/>
        </w:rPr>
        <w:t xml:space="preserve"> benefits in cost, equity and efficiency</w:t>
      </w:r>
      <w:r w:rsidR="00A93F9F">
        <w:rPr>
          <w:rFonts w:asciiTheme="minorHAnsi" w:hAnsiTheme="minorHAnsi"/>
          <w:sz w:val="22"/>
          <w:szCs w:val="22"/>
        </w:rPr>
        <w:t xml:space="preserve"> for </w:t>
      </w:r>
      <w:r w:rsidR="00CC575C">
        <w:rPr>
          <w:rFonts w:asciiTheme="minorHAnsi" w:hAnsiTheme="minorHAnsi"/>
          <w:sz w:val="22"/>
          <w:szCs w:val="22"/>
        </w:rPr>
        <w:t xml:space="preserve">consumers, and </w:t>
      </w:r>
      <w:r w:rsidR="00A93F9F">
        <w:rPr>
          <w:rFonts w:asciiTheme="minorHAnsi" w:hAnsiTheme="minorHAnsi"/>
          <w:sz w:val="22"/>
          <w:szCs w:val="22"/>
        </w:rPr>
        <w:t xml:space="preserve">the health </w:t>
      </w:r>
      <w:proofErr w:type="gramStart"/>
      <w:r w:rsidR="00A93F9F">
        <w:rPr>
          <w:rFonts w:asciiTheme="minorHAnsi" w:hAnsiTheme="minorHAnsi"/>
          <w:sz w:val="22"/>
          <w:szCs w:val="22"/>
        </w:rPr>
        <w:t>system</w:t>
      </w:r>
      <w:proofErr w:type="gramEnd"/>
      <w:r w:rsidR="00A93F9F">
        <w:rPr>
          <w:rFonts w:asciiTheme="minorHAnsi" w:hAnsiTheme="minorHAnsi"/>
          <w:sz w:val="22"/>
          <w:szCs w:val="22"/>
        </w:rPr>
        <w:t xml:space="preserve"> as a whole. </w:t>
      </w:r>
      <w:r w:rsidR="00600F6D">
        <w:rPr>
          <w:rFonts w:asciiTheme="minorHAnsi" w:hAnsiTheme="minorHAnsi"/>
          <w:sz w:val="22"/>
          <w:szCs w:val="22"/>
        </w:rPr>
        <w:t xml:space="preserve">Clarifying the role of private health insurance in the context of the compulsory Medicare scheme should </w:t>
      </w:r>
      <w:r w:rsidR="00CC575C">
        <w:rPr>
          <w:rFonts w:asciiTheme="minorHAnsi" w:hAnsiTheme="minorHAnsi"/>
          <w:sz w:val="22"/>
          <w:szCs w:val="22"/>
        </w:rPr>
        <w:t xml:space="preserve">also </w:t>
      </w:r>
      <w:r w:rsidR="00600F6D">
        <w:rPr>
          <w:rFonts w:asciiTheme="minorHAnsi" w:hAnsiTheme="minorHAnsi"/>
          <w:sz w:val="22"/>
          <w:szCs w:val="22"/>
        </w:rPr>
        <w:t xml:space="preserve">be a consideration as part of this inquiry into competition policy. </w:t>
      </w:r>
    </w:p>
    <w:p w:rsidR="00501C11" w:rsidRPr="003C424D" w:rsidRDefault="003C424D" w:rsidP="003C424D">
      <w:pPr>
        <w:rPr>
          <w:rFonts w:eastAsiaTheme="majorEastAsia" w:cstheme="minorHAnsi"/>
          <w:b/>
          <w:bCs/>
          <w:color w:val="4F81BD" w:themeColor="accent1"/>
          <w:sz w:val="26"/>
          <w:szCs w:val="26"/>
        </w:rPr>
      </w:pPr>
      <w:r w:rsidRPr="003C424D">
        <w:rPr>
          <w:rFonts w:eastAsiaTheme="majorEastAsia" w:cstheme="minorHAnsi"/>
          <w:b/>
          <w:bCs/>
          <w:color w:val="4F81BD" w:themeColor="accent1"/>
          <w:sz w:val="26"/>
          <w:szCs w:val="26"/>
        </w:rPr>
        <w:t>Contestability</w:t>
      </w:r>
    </w:p>
    <w:p w:rsidR="00820B85" w:rsidRDefault="00CC575C" w:rsidP="00820B85">
      <w:r>
        <w:t>There is an expanding</w:t>
      </w:r>
      <w:r w:rsidR="00EB36DD">
        <w:t xml:space="preserve"> </w:t>
      </w:r>
      <w:r w:rsidR="00820B85">
        <w:t>focus on contestability in the</w:t>
      </w:r>
      <w:r w:rsidR="003C424D">
        <w:t xml:space="preserve"> public</w:t>
      </w:r>
      <w:r w:rsidR="00820B85">
        <w:t xml:space="preserve"> health sector</w:t>
      </w:r>
      <w:r>
        <w:t xml:space="preserve"> across Australia</w:t>
      </w:r>
      <w:r w:rsidR="00EB36DD">
        <w:t xml:space="preserve">. Currently, </w:t>
      </w:r>
      <w:r w:rsidR="00820B85">
        <w:t>a range of service</w:t>
      </w:r>
      <w:r w:rsidR="00EB36DD">
        <w:t>s</w:t>
      </w:r>
      <w:r>
        <w:t xml:space="preserve"> are put out to tender</w:t>
      </w:r>
      <w:r w:rsidR="00EB36DD">
        <w:t>,</w:t>
      </w:r>
      <w:r w:rsidR="00820B85">
        <w:t xml:space="preserve"> </w:t>
      </w:r>
      <w:r>
        <w:t>ranging across the building and operation of hospitals, provision of</w:t>
      </w:r>
      <w:r w:rsidR="00820B85">
        <w:t xml:space="preserve"> ‘hotel’ services, diagnostic imaging, pathology, ICT and to a lesser extent clinical services.</w:t>
      </w:r>
    </w:p>
    <w:p w:rsidR="00820B85" w:rsidRDefault="00EB36DD" w:rsidP="00820B85">
      <w:r>
        <w:t xml:space="preserve">There are, however, many challenges associated with contestability. </w:t>
      </w:r>
      <w:r w:rsidR="006E25BD">
        <w:t>For example, t</w:t>
      </w:r>
      <w:r w:rsidR="00820B85">
        <w:t>he provision of health services is not financially viable in some geographical areas due to high overheads</w:t>
      </w:r>
      <w:r w:rsidR="00243623">
        <w:t xml:space="preserve"> and</w:t>
      </w:r>
      <w:r w:rsidR="00820B85">
        <w:t xml:space="preserve"> low </w:t>
      </w:r>
      <w:r w:rsidR="00243623">
        <w:t xml:space="preserve">or unpredictable </w:t>
      </w:r>
      <w:r w:rsidR="00820B85">
        <w:t>demand</w:t>
      </w:r>
      <w:r w:rsidR="00243623">
        <w:t>.</w:t>
      </w:r>
      <w:r w:rsidR="00820B85">
        <w:t xml:space="preserve"> To some extent the economies of scale available to a state-wide public sector enterprise can offset or minimise the loss associate</w:t>
      </w:r>
      <w:r w:rsidR="00F15EE6">
        <w:t>d</w:t>
      </w:r>
      <w:r w:rsidR="00820B85">
        <w:t xml:space="preserve"> with provision of non-viable services</w:t>
      </w:r>
      <w:r w:rsidR="00243623">
        <w:t xml:space="preserve"> in rural or remote locations</w:t>
      </w:r>
      <w:r w:rsidR="00820B85">
        <w:t>.</w:t>
      </w:r>
    </w:p>
    <w:p w:rsidR="00820B85" w:rsidRPr="00243623" w:rsidRDefault="00820B85" w:rsidP="00820B85">
      <w:r w:rsidRPr="00243623">
        <w:t xml:space="preserve">The contracting out of the viable components of a service would reduce the offset and make provision and sustainability of non-viable services even more fragile.  The system-wide implications of increased competition must be considered and the viability of all parts of a service maintained. </w:t>
      </w:r>
    </w:p>
    <w:p w:rsidR="00820B85" w:rsidRPr="00120C09" w:rsidRDefault="003C424D" w:rsidP="00120C09">
      <w:r w:rsidRPr="00120C09">
        <w:t xml:space="preserve">Public sector health services are heavily focused on </w:t>
      </w:r>
      <w:r w:rsidR="00F15EE6" w:rsidRPr="00120C09">
        <w:t xml:space="preserve">maximising </w:t>
      </w:r>
      <w:r w:rsidR="00113555" w:rsidRPr="00120C09">
        <w:t>efficiency</w:t>
      </w:r>
      <w:r w:rsidRPr="00120C09">
        <w:t xml:space="preserve"> and value for money</w:t>
      </w:r>
      <w:r w:rsidR="00F15EE6" w:rsidRPr="00120C09">
        <w:t xml:space="preserve"> in order to meet budget</w:t>
      </w:r>
      <w:r w:rsidRPr="00120C09">
        <w:t xml:space="preserve">.  </w:t>
      </w:r>
      <w:r w:rsidR="00F15EE6" w:rsidRPr="00120C09">
        <w:t xml:space="preserve">This approach to fiscal restraint contrasts with that of private providers which have profit as a goal. </w:t>
      </w:r>
      <w:r w:rsidRPr="00120C09">
        <w:t xml:space="preserve">While </w:t>
      </w:r>
      <w:r w:rsidR="00F15EE6" w:rsidRPr="00120C09">
        <w:t xml:space="preserve">public </w:t>
      </w:r>
      <w:r w:rsidRPr="00120C09">
        <w:t xml:space="preserve">health </w:t>
      </w:r>
      <w:proofErr w:type="gramStart"/>
      <w:r w:rsidRPr="00120C09">
        <w:t>service</w:t>
      </w:r>
      <w:proofErr w:type="gramEnd"/>
      <w:r w:rsidRPr="00120C09">
        <w:t xml:space="preserve"> managers are loathe to describe their planning processes in this way, every decision a health service manager makes is a rationing decision</w:t>
      </w:r>
      <w:r w:rsidR="00113555" w:rsidRPr="00120C09">
        <w:t xml:space="preserve"> as it is a continual challenge to provide health services to an increasing number of increasingly complex consumers with a finite level of resources.</w:t>
      </w:r>
    </w:p>
    <w:p w:rsidR="00120C09" w:rsidRDefault="00120C09">
      <w:pPr>
        <w:rPr>
          <w:rFonts w:eastAsiaTheme="majorEastAsia" w:cstheme="minorHAnsi"/>
          <w:b/>
          <w:bCs/>
          <w:color w:val="4F81BD" w:themeColor="accent1"/>
          <w:sz w:val="26"/>
          <w:szCs w:val="26"/>
        </w:rPr>
      </w:pPr>
      <w:r>
        <w:rPr>
          <w:rFonts w:eastAsiaTheme="majorEastAsia" w:cstheme="minorHAnsi"/>
          <w:b/>
          <w:bCs/>
          <w:color w:val="4F81BD" w:themeColor="accent1"/>
          <w:sz w:val="26"/>
          <w:szCs w:val="26"/>
        </w:rPr>
        <w:br w:type="page"/>
      </w:r>
    </w:p>
    <w:p w:rsidR="00CC575C" w:rsidRDefault="00CC575C" w:rsidP="003E4063">
      <w:pPr>
        <w:rPr>
          <w:rFonts w:eastAsiaTheme="majorEastAsia" w:cstheme="minorHAnsi"/>
          <w:b/>
          <w:bCs/>
          <w:color w:val="4F81BD" w:themeColor="accent1"/>
          <w:sz w:val="26"/>
          <w:szCs w:val="26"/>
        </w:rPr>
      </w:pPr>
    </w:p>
    <w:p w:rsidR="003E4063" w:rsidRPr="00AE2D8E" w:rsidRDefault="003E4063" w:rsidP="003E4063">
      <w:pPr>
        <w:rPr>
          <w:rFonts w:eastAsiaTheme="majorEastAsia" w:cstheme="minorHAnsi"/>
          <w:b/>
          <w:bCs/>
          <w:color w:val="4F81BD" w:themeColor="accent1"/>
          <w:sz w:val="26"/>
          <w:szCs w:val="26"/>
        </w:rPr>
      </w:pPr>
      <w:r w:rsidRPr="00AE2D8E">
        <w:rPr>
          <w:rFonts w:eastAsiaTheme="majorEastAsia" w:cstheme="minorHAnsi"/>
          <w:b/>
          <w:bCs/>
          <w:color w:val="4F81BD" w:themeColor="accent1"/>
          <w:sz w:val="26"/>
          <w:szCs w:val="26"/>
        </w:rPr>
        <w:t>Recommendation</w:t>
      </w:r>
      <w:r w:rsidR="00113555" w:rsidRPr="00AE2D8E">
        <w:rPr>
          <w:rFonts w:eastAsiaTheme="majorEastAsia" w:cstheme="minorHAnsi"/>
          <w:b/>
          <w:bCs/>
          <w:color w:val="4F81BD" w:themeColor="accent1"/>
          <w:sz w:val="26"/>
          <w:szCs w:val="26"/>
        </w:rPr>
        <w:t>s</w:t>
      </w:r>
    </w:p>
    <w:p w:rsidR="00113555" w:rsidRPr="00AE2D8E" w:rsidRDefault="009163CA" w:rsidP="00AE2D8E">
      <w:pPr>
        <w:pStyle w:val="ListParagraph"/>
        <w:numPr>
          <w:ilvl w:val="0"/>
          <w:numId w:val="34"/>
        </w:numPr>
      </w:pPr>
      <w:r>
        <w:t>E</w:t>
      </w:r>
      <w:r w:rsidR="00F15EE6">
        <w:t>xpansion of</w:t>
      </w:r>
      <w:r w:rsidR="00113555" w:rsidRPr="00AE2D8E">
        <w:t xml:space="preserve"> competition in the health sector </w:t>
      </w:r>
      <w:r w:rsidR="00CC575C">
        <w:t xml:space="preserve">(both for service providers and insurers) </w:t>
      </w:r>
      <w:r w:rsidR="00113555" w:rsidRPr="00AE2D8E">
        <w:t>must have equity of access</w:t>
      </w:r>
      <w:r w:rsidR="00CC575C">
        <w:t xml:space="preserve"> and affordability</w:t>
      </w:r>
      <w:r w:rsidR="00113555" w:rsidRPr="00AE2D8E">
        <w:t xml:space="preserve"> as primary performance measure</w:t>
      </w:r>
      <w:r w:rsidR="00CC575C">
        <w:t>s alongside fiscal sustainability</w:t>
      </w:r>
      <w:r w:rsidR="003577F7">
        <w:t>.</w:t>
      </w:r>
    </w:p>
    <w:p w:rsidR="00113555" w:rsidRPr="00AE2D8E" w:rsidRDefault="009163CA" w:rsidP="00AE2D8E">
      <w:pPr>
        <w:pStyle w:val="ListParagraph"/>
        <w:numPr>
          <w:ilvl w:val="0"/>
          <w:numId w:val="34"/>
        </w:numPr>
      </w:pPr>
      <w:r>
        <w:t>S</w:t>
      </w:r>
      <w:r w:rsidR="00113555" w:rsidRPr="00AE2D8E">
        <w:t>trategies to increase competition must be formulated within the context of the maintenance or enhancement of service quality</w:t>
      </w:r>
      <w:r w:rsidR="00F15EE6">
        <w:t>, safety</w:t>
      </w:r>
      <w:r w:rsidR="00113555" w:rsidRPr="00AE2D8E">
        <w:t xml:space="preserve"> and value for money</w:t>
      </w:r>
      <w:r w:rsidR="003577F7">
        <w:t>.</w:t>
      </w:r>
    </w:p>
    <w:p w:rsidR="00113555" w:rsidRPr="00AE2D8E" w:rsidRDefault="00113555" w:rsidP="00AE2D8E">
      <w:pPr>
        <w:pStyle w:val="ListParagraph"/>
        <w:numPr>
          <w:ilvl w:val="0"/>
          <w:numId w:val="34"/>
        </w:numPr>
      </w:pPr>
      <w:r w:rsidRPr="00AE2D8E">
        <w:t xml:space="preserve">The implications of greater </w:t>
      </w:r>
      <w:r w:rsidR="00F15EE6">
        <w:t>competition</w:t>
      </w:r>
      <w:r w:rsidR="00F15EE6" w:rsidRPr="00AE2D8E">
        <w:t xml:space="preserve"> </w:t>
      </w:r>
      <w:r w:rsidRPr="00AE2D8E">
        <w:t>must be considered for area</w:t>
      </w:r>
      <w:r w:rsidR="00AE2D8E">
        <w:t>s</w:t>
      </w:r>
      <w:r w:rsidRPr="00AE2D8E">
        <w:t xml:space="preserve"> of current or potential market failure</w:t>
      </w:r>
      <w:r w:rsidR="003577F7">
        <w:t>.</w:t>
      </w:r>
    </w:p>
    <w:p w:rsidR="00113555" w:rsidRDefault="00113555" w:rsidP="00AE2D8E">
      <w:pPr>
        <w:pStyle w:val="ListParagraph"/>
        <w:numPr>
          <w:ilvl w:val="0"/>
          <w:numId w:val="34"/>
        </w:numPr>
      </w:pPr>
      <w:r w:rsidRPr="00AE2D8E">
        <w:t>Strategies must be developed that consider the whole patient journey rather than focusing on simple episodic components of care</w:t>
      </w:r>
      <w:r w:rsidR="003577F7">
        <w:t>, or individual system components.</w:t>
      </w:r>
    </w:p>
    <w:p w:rsidR="00AE2D8E" w:rsidRDefault="00AE2D8E" w:rsidP="00AE2D8E">
      <w:pPr>
        <w:pStyle w:val="ListParagraph"/>
        <w:numPr>
          <w:ilvl w:val="0"/>
          <w:numId w:val="34"/>
        </w:numPr>
      </w:pPr>
      <w:r>
        <w:t>Increasing the availability of health service and provider outcome data should be a priority to improve consumer choice</w:t>
      </w:r>
      <w:r w:rsidR="003577F7">
        <w:t xml:space="preserve"> and facilitate better understanding about the efficiency and effectiveness of the health system.</w:t>
      </w:r>
    </w:p>
    <w:sectPr w:rsidR="00AE2D8E" w:rsidSect="003C424D">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3A" w:rsidRDefault="00B8483A" w:rsidP="00332455">
      <w:pPr>
        <w:spacing w:after="0" w:line="240" w:lineRule="auto"/>
      </w:pPr>
      <w:r>
        <w:separator/>
      </w:r>
    </w:p>
  </w:endnote>
  <w:endnote w:type="continuationSeparator" w:id="0">
    <w:p w:rsidR="00B8483A" w:rsidRDefault="00B8483A" w:rsidP="0033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40930"/>
      <w:docPartObj>
        <w:docPartGallery w:val="Page Numbers (Bottom of Page)"/>
        <w:docPartUnique/>
      </w:docPartObj>
    </w:sdtPr>
    <w:sdtEndPr>
      <w:rPr>
        <w:noProof/>
      </w:rPr>
    </w:sdtEndPr>
    <w:sdtContent>
      <w:p w:rsidR="00EB36DD" w:rsidRDefault="00EB36DD" w:rsidP="00EB36DD">
        <w:pPr>
          <w:pStyle w:val="Footer"/>
          <w:spacing w:before="240"/>
          <w:jc w:val="center"/>
        </w:pPr>
        <w:r>
          <w:rPr>
            <w:noProof/>
            <w:lang w:eastAsia="en-AU"/>
          </w:rPr>
          <w:drawing>
            <wp:anchor distT="0" distB="0" distL="114300" distR="114300" simplePos="0" relativeHeight="251659264" behindDoc="1" locked="0" layoutInCell="1" allowOverlap="1" wp14:anchorId="1F867ACE" wp14:editId="052203A3">
              <wp:simplePos x="0" y="0"/>
              <wp:positionH relativeFrom="column">
                <wp:posOffset>4984750</wp:posOffset>
              </wp:positionH>
              <wp:positionV relativeFrom="paragraph">
                <wp:posOffset>40348</wp:posOffset>
              </wp:positionV>
              <wp:extent cx="1477010" cy="464185"/>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 Trade Mark Application_AHHA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010" cy="46418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120C09">
          <w:rPr>
            <w:noProof/>
          </w:rPr>
          <w:t>13</w:t>
        </w:r>
        <w:r>
          <w:rPr>
            <w:noProof/>
          </w:rPr>
          <w:fldChar w:fldCharType="end"/>
        </w:r>
      </w:p>
    </w:sdtContent>
  </w:sdt>
  <w:p w:rsidR="00EB36DD" w:rsidRDefault="00EB3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3A" w:rsidRDefault="00B8483A" w:rsidP="00332455">
      <w:pPr>
        <w:spacing w:after="0" w:line="240" w:lineRule="auto"/>
      </w:pPr>
      <w:r>
        <w:separator/>
      </w:r>
    </w:p>
  </w:footnote>
  <w:footnote w:type="continuationSeparator" w:id="0">
    <w:p w:rsidR="00B8483A" w:rsidRDefault="00B8483A" w:rsidP="00332455">
      <w:pPr>
        <w:spacing w:after="0" w:line="240" w:lineRule="auto"/>
      </w:pPr>
      <w:r>
        <w:continuationSeparator/>
      </w:r>
    </w:p>
  </w:footnote>
  <w:footnote w:id="1">
    <w:p w:rsidR="00EB36DD" w:rsidRDefault="00EB36DD" w:rsidP="000B63E3">
      <w:pPr>
        <w:pStyle w:val="FootnoteText"/>
      </w:pPr>
      <w:r>
        <w:rPr>
          <w:rStyle w:val="FootnoteReference"/>
        </w:rPr>
        <w:footnoteRef/>
      </w:r>
      <w:r>
        <w:t xml:space="preserve"> </w:t>
      </w:r>
      <w:proofErr w:type="spellStart"/>
      <w:r>
        <w:t>Gopffarth</w:t>
      </w:r>
      <w:proofErr w:type="spellEnd"/>
      <w:r>
        <w:t xml:space="preserve"> D, ‘Access, quality and affordability in healthcare in Germany and the United States’, </w:t>
      </w:r>
      <w:r>
        <w:rPr>
          <w:i/>
        </w:rPr>
        <w:t>AICGS Policy Report 51</w:t>
      </w:r>
      <w:r>
        <w:t>, John Hopkins University:</w:t>
      </w:r>
    </w:p>
    <w:p w:rsidR="00EB36DD" w:rsidRDefault="00120C09" w:rsidP="000B63E3">
      <w:pPr>
        <w:pStyle w:val="FootnoteText"/>
      </w:pPr>
      <w:hyperlink r:id="rId1" w:history="1">
        <w:r w:rsidR="00EB36DD" w:rsidRPr="00B57B97">
          <w:rPr>
            <w:rStyle w:val="Hyperlink"/>
          </w:rPr>
          <w:t>http://www.aicgs.org/site/wp-content/uploads/2012/06/PR51-Health-Care-Goepffarth.pdf</w:t>
        </w:r>
      </w:hyperlink>
    </w:p>
  </w:footnote>
  <w:footnote w:id="2">
    <w:p w:rsidR="00EB36DD" w:rsidRDefault="00EB36DD" w:rsidP="00B57BC7">
      <w:pPr>
        <w:pStyle w:val="FootnoteText"/>
      </w:pPr>
      <w:r>
        <w:rPr>
          <w:rStyle w:val="FootnoteReference"/>
        </w:rPr>
        <w:footnoteRef/>
      </w:r>
      <w:r>
        <w:t xml:space="preserve"> Boxall A, ‘What are we doing to ensure the sustainability of the health system?’, </w:t>
      </w:r>
      <w:r>
        <w:rPr>
          <w:i/>
        </w:rPr>
        <w:t>Research Paper no. 4 2011-12</w:t>
      </w:r>
      <w:r>
        <w:t>, Library of Parliament, Parliament of Australia, 18 November 2011:</w:t>
      </w:r>
    </w:p>
    <w:p w:rsidR="00EB36DD" w:rsidRDefault="00120C09" w:rsidP="00B57BC7">
      <w:pPr>
        <w:pStyle w:val="FootnoteText"/>
      </w:pPr>
      <w:hyperlink r:id="rId2" w:anchor="_Toc310493613" w:history="1">
        <w:r w:rsidR="00EB36DD" w:rsidRPr="00B57B97">
          <w:rPr>
            <w:rStyle w:val="Hyperlink"/>
          </w:rPr>
          <w:t>http://www.aph.gov.au/About_Parliament/Parliamentary_Departments/Parliamentary_Library/pubs/rp/rp1112/12rp04#_Toc310493613</w:t>
        </w:r>
      </w:hyperlink>
    </w:p>
  </w:footnote>
  <w:footnote w:id="3">
    <w:p w:rsidR="00EB36DD" w:rsidRDefault="00EB36DD">
      <w:pPr>
        <w:pStyle w:val="FootnoteText"/>
      </w:pPr>
      <w:r>
        <w:rPr>
          <w:rStyle w:val="FootnoteReference"/>
        </w:rPr>
        <w:footnoteRef/>
      </w:r>
      <w:r>
        <w:t xml:space="preserve"> </w:t>
      </w:r>
      <w:r w:rsidR="00292D1F">
        <w:t xml:space="preserve">Australian Bureau of Statistics, ‘Private health insurance’, </w:t>
      </w:r>
      <w:r w:rsidR="00292D1F" w:rsidRPr="00292D1F">
        <w:rPr>
          <w:i/>
        </w:rPr>
        <w:t>Australian Health Survey: Health Service Usage and Health Related Actions, 2011-12</w:t>
      </w:r>
      <w:r w:rsidR="00292D1F">
        <w:t xml:space="preserve">: </w:t>
      </w:r>
      <w:hyperlink r:id="rId3" w:history="1">
        <w:r w:rsidRPr="00021D59">
          <w:rPr>
            <w:rStyle w:val="Hyperlink"/>
          </w:rPr>
          <w:t>http://www.abs.gov.au/ausstats/abs@.nsf/Lookup/E334D0A98272E4DCCA257B39000F2DCF?opendocument</w:t>
        </w:r>
      </w:hyperlink>
      <w:r>
        <w:t xml:space="preserve"> </w:t>
      </w:r>
    </w:p>
  </w:footnote>
  <w:footnote w:id="4">
    <w:p w:rsidR="00EB36DD" w:rsidRDefault="00EB36DD" w:rsidP="008D6039">
      <w:pPr>
        <w:pStyle w:val="FootnoteText"/>
      </w:pPr>
      <w:r>
        <w:rPr>
          <w:rStyle w:val="FootnoteReference"/>
        </w:rPr>
        <w:footnoteRef/>
      </w:r>
      <w:r>
        <w:t xml:space="preserve"> </w:t>
      </w:r>
      <w:r w:rsidR="00702FF1">
        <w:t xml:space="preserve">World Health Organization, </w:t>
      </w:r>
      <w:r w:rsidR="00702FF1" w:rsidRPr="00702FF1">
        <w:rPr>
          <w:i/>
        </w:rPr>
        <w:t>Social determinants of health</w:t>
      </w:r>
      <w:r w:rsidR="00702FF1">
        <w:t xml:space="preserve">: </w:t>
      </w:r>
      <w:hyperlink r:id="rId4" w:history="1">
        <w:r w:rsidRPr="00021D59">
          <w:rPr>
            <w:rStyle w:val="Hyperlink"/>
          </w:rPr>
          <w:t>http://www.who.int/social_determinants/themes/en/</w:t>
        </w:r>
      </w:hyperlink>
      <w:r>
        <w:t xml:space="preserve"> </w:t>
      </w:r>
    </w:p>
  </w:footnote>
  <w:footnote w:id="5">
    <w:p w:rsidR="00702FF1" w:rsidRDefault="00702FF1">
      <w:pPr>
        <w:pStyle w:val="FootnoteText"/>
      </w:pPr>
      <w:r>
        <w:rPr>
          <w:rStyle w:val="FootnoteReference"/>
        </w:rPr>
        <w:footnoteRef/>
      </w:r>
      <w:r>
        <w:t xml:space="preserve"> </w:t>
      </w:r>
      <w:proofErr w:type="spellStart"/>
      <w:r>
        <w:t>Johar</w:t>
      </w:r>
      <w:proofErr w:type="spellEnd"/>
      <w:r>
        <w:t xml:space="preserve"> </w:t>
      </w:r>
      <w:proofErr w:type="spellStart"/>
      <w:r>
        <w:t xml:space="preserve">M </w:t>
      </w:r>
      <w:proofErr w:type="gramStart"/>
      <w:r>
        <w:t>et</w:t>
      </w:r>
      <w:proofErr w:type="spellEnd"/>
      <w:proofErr w:type="gramEnd"/>
      <w:r>
        <w:t xml:space="preserve">. al., </w:t>
      </w:r>
      <w:r w:rsidRPr="00D1633F">
        <w:rPr>
          <w:i/>
        </w:rPr>
        <w:t>Discrimination in a universal health system: explaining socioeconomic waiting time gaps</w:t>
      </w:r>
      <w:r>
        <w:t xml:space="preserve">: </w:t>
      </w:r>
      <w:hyperlink r:id="rId5" w:history="1">
        <w:r w:rsidRPr="004B7E88">
          <w:rPr>
            <w:rStyle w:val="Hyperlink"/>
          </w:rPr>
          <w:t>http://www.ecineq.org/ecineq_bari13/FILESxBari13/CR2/p116.pdf</w:t>
        </w:r>
      </w:hyperlink>
    </w:p>
    <w:p w:rsidR="00702FF1" w:rsidRDefault="00702FF1">
      <w:pPr>
        <w:pStyle w:val="FootnoteText"/>
      </w:pPr>
    </w:p>
  </w:footnote>
  <w:footnote w:id="6">
    <w:p w:rsidR="00D1633F" w:rsidRDefault="00D1633F">
      <w:pPr>
        <w:pStyle w:val="FootnoteText"/>
      </w:pPr>
      <w:r>
        <w:rPr>
          <w:rStyle w:val="FootnoteReference"/>
        </w:rPr>
        <w:footnoteRef/>
      </w:r>
      <w:r>
        <w:t xml:space="preserve"> Australian Government, Productivity Commission, </w:t>
      </w:r>
      <w:r w:rsidRPr="00D1633F">
        <w:rPr>
          <w:i/>
        </w:rPr>
        <w:t>Public and Private Hospitals: Productivity Commission Research Report</w:t>
      </w:r>
      <w:r>
        <w:t xml:space="preserve">, December 2009: </w:t>
      </w:r>
      <w:hyperlink r:id="rId6" w:history="1">
        <w:r w:rsidRPr="004B7E88">
          <w:rPr>
            <w:rStyle w:val="Hyperlink"/>
          </w:rPr>
          <w:t>http://www.pc.gov.au/_data/assets/pdf_file/0015/93030/hospitals-report.pdf</w:t>
        </w:r>
      </w:hyperlink>
    </w:p>
  </w:footnote>
  <w:footnote w:id="7">
    <w:p w:rsidR="00EB36DD" w:rsidRDefault="00EB36DD" w:rsidP="00051BF9">
      <w:pPr>
        <w:pStyle w:val="FootnoteText"/>
      </w:pPr>
      <w:r>
        <w:rPr>
          <w:rStyle w:val="FootnoteReference"/>
        </w:rPr>
        <w:footnoteRef/>
      </w:r>
      <w:r>
        <w:t xml:space="preserve"> </w:t>
      </w:r>
      <w:r w:rsidR="00481AE0">
        <w:t xml:space="preserve">US Government, Medicare, </w:t>
      </w:r>
      <w:r w:rsidR="00481AE0" w:rsidRPr="00481AE0">
        <w:rPr>
          <w:i/>
        </w:rPr>
        <w:t>Physician Compare</w:t>
      </w:r>
      <w:r w:rsidR="00481AE0">
        <w:t xml:space="preserve">: </w:t>
      </w:r>
      <w:r w:rsidRPr="00BA2ABA">
        <w:rPr>
          <w:rStyle w:val="Hyperlink"/>
        </w:rPr>
        <w:t>http://www.medicare.gov/physiciancompare/search.html</w:t>
      </w:r>
    </w:p>
  </w:footnote>
  <w:footnote w:id="8">
    <w:p w:rsidR="00EB36DD" w:rsidRDefault="00EB36DD" w:rsidP="00051BF9">
      <w:pPr>
        <w:pStyle w:val="FootnoteText"/>
      </w:pPr>
      <w:r>
        <w:rPr>
          <w:rStyle w:val="FootnoteReference"/>
        </w:rPr>
        <w:footnoteRef/>
      </w:r>
      <w:r>
        <w:t xml:space="preserve"> </w:t>
      </w:r>
      <w:r w:rsidR="00481AE0">
        <w:t xml:space="preserve">US Government, Medicare, </w:t>
      </w:r>
      <w:r w:rsidR="00481AE0" w:rsidRPr="00481AE0">
        <w:rPr>
          <w:i/>
        </w:rPr>
        <w:t>Hospital Compare</w:t>
      </w:r>
      <w:r w:rsidR="00481AE0">
        <w:t xml:space="preserve">: </w:t>
      </w:r>
      <w:hyperlink r:id="rId7" w:history="1">
        <w:r w:rsidRPr="00916854">
          <w:rPr>
            <w:rStyle w:val="Hyperlink"/>
          </w:rPr>
          <w:t>http://www.medicare.gov/hospitalcompare/search.html</w:t>
        </w:r>
      </w:hyperlink>
    </w:p>
  </w:footnote>
  <w:footnote w:id="9">
    <w:p w:rsidR="00EB36DD" w:rsidRDefault="00EB36DD" w:rsidP="00051BF9">
      <w:pPr>
        <w:pStyle w:val="FootnoteText"/>
      </w:pPr>
      <w:r>
        <w:rPr>
          <w:rStyle w:val="FootnoteReference"/>
        </w:rPr>
        <w:footnoteRef/>
      </w:r>
      <w:r>
        <w:t xml:space="preserve"> </w:t>
      </w:r>
      <w:r w:rsidR="00481AE0">
        <w:t xml:space="preserve">State of California, Office of the Patient Advocate, </w:t>
      </w:r>
      <w:r w:rsidR="00481AE0" w:rsidRPr="00481AE0">
        <w:rPr>
          <w:i/>
        </w:rPr>
        <w:t>HMO Quality Rating Summary</w:t>
      </w:r>
      <w:r w:rsidR="00481AE0">
        <w:t xml:space="preserve">: </w:t>
      </w:r>
      <w:hyperlink r:id="rId8" w:history="1">
        <w:r w:rsidRPr="00916854">
          <w:rPr>
            <w:rStyle w:val="Hyperlink"/>
          </w:rPr>
          <w:t>http://reportcard.opa.ca.gov/rc/hmorating.aspx</w:t>
        </w:r>
      </w:hyperlink>
    </w:p>
  </w:footnote>
  <w:footnote w:id="10">
    <w:p w:rsidR="00EB36DD" w:rsidRDefault="00EB36DD" w:rsidP="00051BF9">
      <w:pPr>
        <w:pStyle w:val="FootnoteText"/>
      </w:pPr>
      <w:r>
        <w:rPr>
          <w:rStyle w:val="FootnoteReference"/>
        </w:rPr>
        <w:footnoteRef/>
      </w:r>
      <w:r>
        <w:t xml:space="preserve"> </w:t>
      </w:r>
      <w:r w:rsidR="00481AE0">
        <w:t xml:space="preserve">Washington State Hospital Association, </w:t>
      </w:r>
      <w:r w:rsidR="00481AE0" w:rsidRPr="00481AE0">
        <w:rPr>
          <w:i/>
        </w:rPr>
        <w:t>Quality Indicator Search Page</w:t>
      </w:r>
      <w:r w:rsidR="00481AE0">
        <w:t xml:space="preserve">: </w:t>
      </w:r>
      <w:r w:rsidRPr="00BA2ABA">
        <w:rPr>
          <w:rStyle w:val="Hyperlink"/>
        </w:rPr>
        <w:t>http://www.wahospitalquality.org/</w:t>
      </w:r>
    </w:p>
  </w:footnote>
  <w:footnote w:id="11">
    <w:p w:rsidR="00EB36DD" w:rsidRDefault="00EB36DD">
      <w:pPr>
        <w:pStyle w:val="FootnoteText"/>
      </w:pPr>
      <w:r>
        <w:rPr>
          <w:rStyle w:val="FootnoteReference"/>
        </w:rPr>
        <w:footnoteRef/>
      </w:r>
      <w:r w:rsidR="000E6D59">
        <w:t xml:space="preserve"> </w:t>
      </w:r>
      <w:r w:rsidR="000E6D59" w:rsidRPr="000E6D59">
        <w:t>Aust</w:t>
      </w:r>
      <w:r w:rsidR="000E6D59">
        <w:t xml:space="preserve">ralian Government, National Health and Hospitals Reform Commission, </w:t>
      </w:r>
      <w:r w:rsidR="000E6D59" w:rsidRPr="000E6D59">
        <w:rPr>
          <w:i/>
        </w:rPr>
        <w:t>A healthier future for all Australians: Final report</w:t>
      </w:r>
      <w:r w:rsidR="000E6D59">
        <w:t xml:space="preserve">, June 2009: </w:t>
      </w:r>
      <w:r w:rsidRPr="00BA2ABA">
        <w:rPr>
          <w:rStyle w:val="Hyperlink"/>
        </w:rPr>
        <w:t>http://www.health.gov.au/internet/nhhrc/publishing.nsf/content/1AFDEAF1FB76A1D8CA257600000B5BE2/$File/Final_Report_of_the%20nhhrc_June_2009.pdf</w:t>
      </w:r>
    </w:p>
  </w:footnote>
  <w:footnote w:id="12">
    <w:p w:rsidR="00EB36DD" w:rsidRDefault="00EB36DD">
      <w:pPr>
        <w:pStyle w:val="FootnoteText"/>
      </w:pPr>
      <w:r>
        <w:rPr>
          <w:rStyle w:val="FootnoteReference"/>
        </w:rPr>
        <w:footnoteRef/>
      </w:r>
      <w:r w:rsidR="000E6D59" w:rsidRPr="000E6D59">
        <w:t>Australian</w:t>
      </w:r>
      <w:r w:rsidR="000E6D59">
        <w:t xml:space="preserve"> Government, Department of Health, </w:t>
      </w:r>
      <w:r w:rsidR="000E6D59" w:rsidRPr="000E6D59">
        <w:rPr>
          <w:i/>
        </w:rPr>
        <w:t>Review of Medicare Locals: Final report</w:t>
      </w:r>
      <w:r w:rsidR="000E6D59">
        <w:t>, 4 March 2014:</w:t>
      </w:r>
      <w:r w:rsidR="000E6D59" w:rsidRPr="000E6D59">
        <w:t xml:space="preserve"> </w:t>
      </w:r>
      <w:r w:rsidRPr="00BA2ABA">
        <w:rPr>
          <w:rStyle w:val="Hyperlink"/>
        </w:rPr>
        <w:t>http://www.health.gov.au/internet/main/publishing.nsf/Content/A69978FAABB1225ECA257CD3001810B7/$File/Review-of-Medicare-Locals-may-2014.pdf</w:t>
      </w:r>
    </w:p>
  </w:footnote>
  <w:footnote w:id="13">
    <w:p w:rsidR="00EB36DD" w:rsidRDefault="00EB36DD">
      <w:pPr>
        <w:pStyle w:val="FootnoteText"/>
      </w:pPr>
      <w:r>
        <w:rPr>
          <w:rStyle w:val="FootnoteReference"/>
        </w:rPr>
        <w:footnoteRef/>
      </w:r>
      <w:r>
        <w:t xml:space="preserve"> Private Health Insurance Administration Council, </w:t>
      </w:r>
      <w:r w:rsidRPr="002268BC">
        <w:rPr>
          <w:i/>
        </w:rPr>
        <w:t>Statistical Trends in Membership and Benefits Data Tables</w:t>
      </w:r>
      <w:r>
        <w:t>:</w:t>
      </w:r>
    </w:p>
    <w:p w:rsidR="00EB36DD" w:rsidRDefault="00120C09">
      <w:pPr>
        <w:pStyle w:val="FootnoteText"/>
      </w:pPr>
      <w:hyperlink r:id="rId9" w:history="1">
        <w:r w:rsidR="00EB36DD" w:rsidRPr="00B57B97">
          <w:rPr>
            <w:rStyle w:val="Hyperlink"/>
          </w:rPr>
          <w:t>http://phiac.gov.au/industry/industry-statistics/statistical-trends/</w:t>
        </w:r>
      </w:hyperlink>
    </w:p>
  </w:footnote>
  <w:footnote w:id="14">
    <w:p w:rsidR="00134F4C" w:rsidRDefault="00134F4C">
      <w:pPr>
        <w:pStyle w:val="FootnoteText"/>
      </w:pPr>
      <w:r>
        <w:rPr>
          <w:rStyle w:val="FootnoteReference"/>
        </w:rPr>
        <w:footnoteRef/>
      </w:r>
      <w:r>
        <w:t xml:space="preserve"> ibid.</w:t>
      </w:r>
    </w:p>
  </w:footnote>
  <w:footnote w:id="15">
    <w:p w:rsidR="00EB36DD" w:rsidRDefault="00EB36DD">
      <w:pPr>
        <w:pStyle w:val="FootnoteText"/>
      </w:pPr>
      <w:r>
        <w:rPr>
          <w:rStyle w:val="FootnoteReference"/>
        </w:rPr>
        <w:footnoteRef/>
      </w:r>
      <w:r>
        <w:t xml:space="preserve"> </w:t>
      </w:r>
      <w:r w:rsidR="0047362A">
        <w:t xml:space="preserve">Organisation for Economic Co-operation and Development, </w:t>
      </w:r>
      <w:r w:rsidR="0047362A">
        <w:rPr>
          <w:i/>
        </w:rPr>
        <w:t>OECD Health Working Paper No. 50: Health System Institutional Characteristics: A Survey of 29 OECD Countries</w:t>
      </w:r>
      <w:r w:rsidR="0047362A">
        <w:t>, 28 April 2010:</w:t>
      </w:r>
      <w:r w:rsidR="0047362A">
        <w:t xml:space="preserve"> </w:t>
      </w:r>
      <w:hyperlink r:id="rId10" w:history="1">
        <w:r w:rsidRPr="000047B9">
          <w:rPr>
            <w:rStyle w:val="Hyperlink"/>
          </w:rPr>
          <w:t>http://www.oecd-ilibrary.org/docserver/download/5kmfxfq9qbnr.pdf?expires=1402884291&amp;id=id&amp;accname=guest&amp;checksum=7DE59567C23D14068DE764C895D0F05B</w:t>
        </w:r>
      </w:hyperlink>
      <w:r>
        <w:t xml:space="preserve"> </w:t>
      </w:r>
    </w:p>
  </w:footnote>
  <w:footnote w:id="16">
    <w:p w:rsidR="00EB36DD" w:rsidRDefault="00EB36DD">
      <w:pPr>
        <w:pStyle w:val="FootnoteText"/>
      </w:pPr>
      <w:r>
        <w:rPr>
          <w:rStyle w:val="FootnoteReference"/>
        </w:rPr>
        <w:footnoteRef/>
      </w:r>
      <w:r>
        <w:t xml:space="preserve"> </w:t>
      </w:r>
      <w:hyperlink r:id="rId11" w:history="1">
        <w:r w:rsidRPr="000047B9">
          <w:rPr>
            <w:rStyle w:val="Hyperlink"/>
          </w:rPr>
          <w:t>http://www.oecd-ilibrary.org/docserver/download/5kmfxfq9qbnr.pdf?expires=1402884291&amp;id=id&amp;accname=guest&amp;checksum=7DE59567C23D14068DE764C895D0F05B</w:t>
        </w:r>
      </w:hyperlink>
      <w:r>
        <w:t xml:space="preserve"> </w:t>
      </w:r>
    </w:p>
  </w:footnote>
  <w:footnote w:id="17">
    <w:p w:rsidR="0047362A" w:rsidRDefault="0047362A" w:rsidP="0047362A">
      <w:pPr>
        <w:pStyle w:val="FootnoteText"/>
      </w:pPr>
      <w:r>
        <w:rPr>
          <w:rStyle w:val="FootnoteReference"/>
        </w:rPr>
        <w:footnoteRef/>
      </w:r>
      <w:r>
        <w:t xml:space="preserve"> </w:t>
      </w:r>
      <w:r w:rsidRPr="00700C55">
        <w:t>OEC</w:t>
      </w:r>
      <w:r>
        <w:t xml:space="preserve">D Health Statistics 2013: </w:t>
      </w:r>
      <w:hyperlink r:id="rId12" w:history="1">
        <w:r w:rsidRPr="00141BC5">
          <w:rPr>
            <w:rStyle w:val="Hyperlink"/>
          </w:rPr>
          <w:t>http://dx.doi.org/10.1787/health-data-en</w:t>
        </w:r>
      </w:hyperlink>
    </w:p>
  </w:footnote>
  <w:footnote w:id="18">
    <w:p w:rsidR="0047362A" w:rsidRDefault="0047362A" w:rsidP="0047362A">
      <w:pPr>
        <w:pStyle w:val="FootnoteText"/>
      </w:pPr>
      <w:r>
        <w:rPr>
          <w:rStyle w:val="FootnoteReference"/>
        </w:rPr>
        <w:footnoteRef/>
      </w:r>
      <w:r>
        <w:t xml:space="preserve"> Australian Government, Industry Commission, </w:t>
      </w:r>
      <w:r>
        <w:rPr>
          <w:i/>
        </w:rPr>
        <w:t>Private Health Insurance</w:t>
      </w:r>
      <w:r>
        <w:t>, 28 February 1997:</w:t>
      </w:r>
    </w:p>
    <w:p w:rsidR="0047362A" w:rsidRDefault="0047362A" w:rsidP="0047362A">
      <w:pPr>
        <w:pStyle w:val="FootnoteText"/>
      </w:pPr>
      <w:hyperlink r:id="rId13" w:history="1">
        <w:r w:rsidRPr="000047B9">
          <w:rPr>
            <w:rStyle w:val="Hyperlink"/>
          </w:rPr>
          <w:t>http://www.pc.gov.au/__data/assets/pdf_file/0010/7021/57privatehealth.pdf</w:t>
        </w:r>
      </w:hyperlink>
      <w:r>
        <w:t xml:space="preserve"> </w:t>
      </w:r>
    </w:p>
  </w:footnote>
  <w:footnote w:id="19">
    <w:p w:rsidR="0047362A" w:rsidRDefault="0047362A" w:rsidP="0047362A">
      <w:pPr>
        <w:pStyle w:val="FootnoteText"/>
      </w:pPr>
      <w:r>
        <w:rPr>
          <w:rStyle w:val="FootnoteReference"/>
        </w:rPr>
        <w:footnoteRef/>
      </w:r>
      <w:r>
        <w:t xml:space="preserve"> Australian Government, Private Health Insurance Administration Council, </w:t>
      </w:r>
      <w:r>
        <w:rPr>
          <w:i/>
        </w:rPr>
        <w:t>The Operations of Private Health Insurers Annual Report 2012–2013</w:t>
      </w:r>
      <w:r>
        <w:t>:</w:t>
      </w:r>
    </w:p>
    <w:p w:rsidR="0047362A" w:rsidRDefault="0047362A" w:rsidP="0047362A">
      <w:pPr>
        <w:pStyle w:val="FootnoteText"/>
      </w:pPr>
      <w:hyperlink r:id="rId14" w:history="1">
        <w:r w:rsidRPr="00141BC5">
          <w:rPr>
            <w:rStyle w:val="Hyperlink"/>
          </w:rPr>
          <w:t>http://phiac.gov.au/wp-content/uploads/2013/12/2012-13-accessible-pdf.pdf</w:t>
        </w:r>
      </w:hyperlink>
    </w:p>
  </w:footnote>
  <w:footnote w:id="20">
    <w:p w:rsidR="0047362A" w:rsidRDefault="0047362A">
      <w:pPr>
        <w:pStyle w:val="FootnoteText"/>
      </w:pPr>
      <w:r>
        <w:rPr>
          <w:rStyle w:val="FootnoteReference"/>
        </w:rPr>
        <w:footnoteRef/>
      </w:r>
      <w:r>
        <w:t xml:space="preserve"> </w:t>
      </w:r>
      <w:r>
        <w:rPr>
          <w:rStyle w:val="apple-style-span"/>
          <w:rFonts w:ascii="Lucida Grande" w:hAnsi="Lucida Grande" w:cs="Lucida Grande"/>
          <w:color w:val="000000"/>
          <w:sz w:val="17"/>
          <w:szCs w:val="17"/>
        </w:rPr>
        <w:t xml:space="preserve">F Colombo, N </w:t>
      </w:r>
      <w:proofErr w:type="spellStart"/>
      <w:r>
        <w:rPr>
          <w:rStyle w:val="apple-style-span"/>
          <w:rFonts w:ascii="Lucida Grande" w:hAnsi="Lucida Grande" w:cs="Lucida Grande"/>
          <w:color w:val="000000"/>
          <w:sz w:val="17"/>
          <w:szCs w:val="17"/>
        </w:rPr>
        <w:t>Tapay</w:t>
      </w:r>
      <w:proofErr w:type="spellEnd"/>
      <w:r>
        <w:rPr>
          <w:rStyle w:val="apple-style-span"/>
          <w:rFonts w:ascii="Lucida Grande" w:hAnsi="Lucida Grande" w:cs="Lucida Grande"/>
          <w:color w:val="000000"/>
          <w:sz w:val="17"/>
          <w:szCs w:val="17"/>
        </w:rPr>
        <w:t>,</w:t>
      </w:r>
      <w:r>
        <w:rPr>
          <w:rStyle w:val="apple-converted-space"/>
          <w:rFonts w:ascii="Lucida Grande" w:hAnsi="Lucida Grande" w:cs="Lucida Grande"/>
          <w:color w:val="000000"/>
          <w:sz w:val="17"/>
          <w:szCs w:val="17"/>
        </w:rPr>
        <w:t> </w:t>
      </w:r>
      <w:r>
        <w:rPr>
          <w:rStyle w:val="apple-style-span"/>
          <w:rFonts w:ascii="Lucida Grande" w:hAnsi="Lucida Grande" w:cs="Lucida Grande"/>
          <w:i/>
          <w:iCs/>
          <w:color w:val="000000"/>
          <w:sz w:val="17"/>
          <w:szCs w:val="17"/>
          <w:bdr w:val="none" w:sz="0" w:space="0" w:color="auto" w:frame="1"/>
        </w:rPr>
        <w:t>Private Health Insurance in Australia: A case study</w:t>
      </w:r>
      <w:r>
        <w:rPr>
          <w:rStyle w:val="apple-style-span"/>
          <w:rFonts w:ascii="Lucida Grande" w:hAnsi="Lucida Grande" w:cs="Lucida Grande"/>
          <w:color w:val="000000"/>
          <w:sz w:val="17"/>
          <w:szCs w:val="17"/>
        </w:rPr>
        <w:t xml:space="preserve">, OECD Health Working Papers, No. 8, OECD Publishing, Paris, 2003; A </w:t>
      </w:r>
      <w:proofErr w:type="spellStart"/>
      <w:r>
        <w:rPr>
          <w:rStyle w:val="apple-style-span"/>
          <w:rFonts w:ascii="Lucida Grande" w:hAnsi="Lucida Grande" w:cs="Lucida Grande"/>
          <w:color w:val="000000"/>
          <w:sz w:val="17"/>
          <w:szCs w:val="17"/>
        </w:rPr>
        <w:t>Shamsullah</w:t>
      </w:r>
      <w:proofErr w:type="spellEnd"/>
      <w:r>
        <w:rPr>
          <w:rStyle w:val="apple-style-span"/>
          <w:rFonts w:ascii="Lucida Grande" w:hAnsi="Lucida Grande" w:cs="Lucida Grande"/>
          <w:color w:val="000000"/>
          <w:sz w:val="17"/>
          <w:szCs w:val="17"/>
        </w:rPr>
        <w:t>, ‘Australia’s private health insurance industry: structure, competition, regulation and role in a less than ‘ideal world’,</w:t>
      </w:r>
      <w:r>
        <w:rPr>
          <w:rStyle w:val="apple-converted-space"/>
          <w:rFonts w:ascii="Lucida Grande" w:hAnsi="Lucida Grande" w:cs="Lucida Grande"/>
          <w:color w:val="000000"/>
          <w:sz w:val="17"/>
          <w:szCs w:val="17"/>
        </w:rPr>
        <w:t> </w:t>
      </w:r>
      <w:r>
        <w:rPr>
          <w:rStyle w:val="apple-style-span"/>
          <w:rFonts w:ascii="Lucida Grande" w:hAnsi="Lucida Grande" w:cs="Lucida Grande"/>
          <w:i/>
          <w:iCs/>
          <w:color w:val="000000"/>
          <w:sz w:val="17"/>
          <w:szCs w:val="17"/>
          <w:bdr w:val="none" w:sz="0" w:space="0" w:color="auto" w:frame="1"/>
        </w:rPr>
        <w:t>Australian Health Review</w:t>
      </w:r>
      <w:r>
        <w:rPr>
          <w:rStyle w:val="apple-style-span"/>
          <w:rFonts w:ascii="Lucida Grande" w:hAnsi="Lucida Grande" w:cs="Lucida Grande"/>
          <w:color w:val="000000"/>
          <w:sz w:val="17"/>
          <w:szCs w:val="17"/>
        </w:rPr>
        <w:t xml:space="preserve">, vol. 35, pp. 23–31, 2011, </w:t>
      </w:r>
      <w:hyperlink r:id="rId15" w:anchor="search=%22shamsullah%22" w:history="1">
        <w:r w:rsidRPr="0047362A">
          <w:rPr>
            <w:rStyle w:val="Hyperlink"/>
          </w:rPr>
          <w:t>http://parlinfo.aph.gov.au/parlInfo/download/library/jrnart/598683/upload_binary/598683.pdf;fileType=application%2Fpdf#search=%22shamsullah%22</w:t>
        </w:r>
      </w:hyperlink>
    </w:p>
  </w:footnote>
  <w:footnote w:id="21">
    <w:p w:rsidR="00EB36DD" w:rsidRDefault="00EB36DD">
      <w:pPr>
        <w:pStyle w:val="FootnoteText"/>
      </w:pPr>
      <w:r>
        <w:rPr>
          <w:rStyle w:val="FootnoteReference"/>
        </w:rPr>
        <w:footnoteRef/>
      </w:r>
      <w:r>
        <w:t xml:space="preserve"> </w:t>
      </w:r>
      <w:hyperlink r:id="rId16" w:history="1">
        <w:r w:rsidRPr="000047B9">
          <w:rPr>
            <w:rStyle w:val="Hyperlink"/>
          </w:rPr>
          <w:t>http://www.pc.gov.au/__data/assets/pdf_file/0010/7021/57privatehealth.pdf</w:t>
        </w:r>
      </w:hyperlink>
      <w:r>
        <w:t xml:space="preserve"> </w:t>
      </w:r>
    </w:p>
  </w:footnote>
  <w:footnote w:id="22">
    <w:p w:rsidR="00120C09" w:rsidRDefault="00120C09" w:rsidP="00120C09">
      <w:pPr>
        <w:pStyle w:val="FootnoteText"/>
      </w:pPr>
      <w:r>
        <w:rPr>
          <w:rStyle w:val="FootnoteReference"/>
        </w:rPr>
        <w:footnoteRef/>
      </w:r>
      <w:r>
        <w:t xml:space="preserve"> </w:t>
      </w:r>
      <w:r>
        <w:rPr>
          <w:rStyle w:val="apple-style-span"/>
          <w:rFonts w:ascii="Lucida Grande" w:hAnsi="Lucida Grande" w:cs="Lucida Grande"/>
          <w:color w:val="000000"/>
          <w:sz w:val="17"/>
          <w:szCs w:val="17"/>
        </w:rPr>
        <w:t>Access Economics,</w:t>
      </w:r>
      <w:r>
        <w:rPr>
          <w:rStyle w:val="apple-converted-space"/>
          <w:rFonts w:ascii="Lucida Grande" w:hAnsi="Lucida Grande" w:cs="Lucida Grande"/>
          <w:color w:val="000000"/>
          <w:sz w:val="17"/>
          <w:szCs w:val="17"/>
        </w:rPr>
        <w:t> </w:t>
      </w:r>
      <w:r>
        <w:rPr>
          <w:rStyle w:val="apple-style-span"/>
          <w:rFonts w:ascii="Lucida Grande" w:hAnsi="Lucida Grande" w:cs="Lucida Grande"/>
          <w:i/>
          <w:iCs/>
          <w:color w:val="000000"/>
          <w:sz w:val="17"/>
          <w:szCs w:val="17"/>
          <w:bdr w:val="none" w:sz="0" w:space="0" w:color="auto" w:frame="1"/>
        </w:rPr>
        <w:t>Regulation of Private Health Insurance Pricing</w:t>
      </w:r>
      <w:r>
        <w:rPr>
          <w:rStyle w:val="apple-style-span"/>
          <w:rFonts w:ascii="Lucida Grande" w:hAnsi="Lucida Grande" w:cs="Lucida Grande"/>
          <w:color w:val="000000"/>
          <w:sz w:val="17"/>
          <w:szCs w:val="17"/>
        </w:rPr>
        <w:t xml:space="preserve">, Access Economics, Canberra, 2005; T </w:t>
      </w:r>
      <w:proofErr w:type="spellStart"/>
      <w:r>
        <w:rPr>
          <w:rStyle w:val="apple-style-span"/>
          <w:rFonts w:ascii="Lucida Grande" w:hAnsi="Lucida Grande" w:cs="Lucida Grande"/>
          <w:color w:val="000000"/>
          <w:sz w:val="17"/>
          <w:szCs w:val="17"/>
        </w:rPr>
        <w:t>Boreham</w:t>
      </w:r>
      <w:proofErr w:type="spellEnd"/>
      <w:r>
        <w:rPr>
          <w:rStyle w:val="apple-style-span"/>
          <w:rFonts w:ascii="Lucida Grande" w:hAnsi="Lucida Grande" w:cs="Lucida Grande"/>
          <w:color w:val="000000"/>
          <w:sz w:val="17"/>
          <w:szCs w:val="17"/>
        </w:rPr>
        <w:t>, ‘Giant private health insurer in wellness push’,</w:t>
      </w:r>
      <w:r>
        <w:rPr>
          <w:rStyle w:val="apple-converted-space"/>
          <w:rFonts w:ascii="Lucida Grande" w:hAnsi="Lucida Grande" w:cs="Lucida Grande"/>
          <w:color w:val="000000"/>
          <w:sz w:val="17"/>
          <w:szCs w:val="17"/>
        </w:rPr>
        <w:t> </w:t>
      </w:r>
      <w:r>
        <w:rPr>
          <w:rStyle w:val="apple-style-span"/>
          <w:rFonts w:ascii="Lucida Grande" w:hAnsi="Lucida Grande" w:cs="Lucida Grande"/>
          <w:i/>
          <w:iCs/>
          <w:color w:val="000000"/>
          <w:sz w:val="17"/>
          <w:szCs w:val="17"/>
          <w:bdr w:val="none" w:sz="0" w:space="0" w:color="auto" w:frame="1"/>
        </w:rPr>
        <w:t>The Australian</w:t>
      </w:r>
      <w:r>
        <w:rPr>
          <w:rStyle w:val="apple-style-span"/>
          <w:rFonts w:ascii="Lucida Grande" w:hAnsi="Lucida Grande" w:cs="Lucida Grande"/>
          <w:color w:val="000000"/>
          <w:sz w:val="17"/>
          <w:szCs w:val="17"/>
        </w:rPr>
        <w:t xml:space="preserve">,  4 June 2011, p. 28, </w:t>
      </w:r>
      <w:hyperlink r:id="rId17" w:history="1">
        <w:r>
          <w:rPr>
            <w:rStyle w:val="Hyperlink"/>
            <w:rFonts w:ascii="Lucida Grande" w:hAnsi="Lucida Grande" w:cs="Lucida Grande"/>
            <w:color w:val="045F85"/>
            <w:sz w:val="17"/>
            <w:szCs w:val="17"/>
          </w:rPr>
          <w:t>http://parlinfo.aph.gov.au/parlInfo/search/display/display.w3p;query=Id%3A%22media%2Fpressclp%2F819753%22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DD" w:rsidRDefault="00EB36DD" w:rsidP="00EB36DD">
    <w:pPr>
      <w:pStyle w:val="Header"/>
      <w:jc w:val="right"/>
    </w:pPr>
    <w:r>
      <w:rPr>
        <w:noProof/>
        <w:lang w:eastAsia="en-AU"/>
      </w:rPr>
      <w:drawing>
        <wp:anchor distT="0" distB="0" distL="114300" distR="114300" simplePos="0" relativeHeight="251660288" behindDoc="0" locked="0" layoutInCell="1" allowOverlap="1" wp14:anchorId="00071231" wp14:editId="2A51A40A">
          <wp:simplePos x="0" y="0"/>
          <wp:positionH relativeFrom="column">
            <wp:posOffset>5208562</wp:posOffset>
          </wp:positionH>
          <wp:positionV relativeFrom="paragraph">
            <wp:posOffset>-203200</wp:posOffset>
          </wp:positionV>
          <wp:extent cx="990600" cy="7831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_CMYK.gif"/>
                  <pic:cNvPicPr/>
                </pic:nvPicPr>
                <pic:blipFill rotWithShape="1">
                  <a:blip r:embed="rId1">
                    <a:extLst>
                      <a:ext uri="{28A0092B-C50C-407E-A947-70E740481C1C}">
                        <a14:useLocalDpi xmlns:a14="http://schemas.microsoft.com/office/drawing/2010/main" val="0"/>
                      </a:ext>
                    </a:extLst>
                  </a:blip>
                  <a:srcRect l="12500" t="17273" r="10527" b="17509"/>
                  <a:stretch/>
                </pic:blipFill>
                <pic:spPr bwMode="auto">
                  <a:xfrm>
                    <a:off x="0" y="0"/>
                    <a:ext cx="990600" cy="7831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9CD248"/>
    <w:lvl w:ilvl="0">
      <w:start w:val="1"/>
      <w:numFmt w:val="bullet"/>
      <w:lvlText w:val=""/>
      <w:lvlJc w:val="left"/>
      <w:pPr>
        <w:tabs>
          <w:tab w:val="num" w:pos="360"/>
        </w:tabs>
        <w:ind w:left="360" w:hanging="360"/>
      </w:pPr>
      <w:rPr>
        <w:rFonts w:ascii="Symbol" w:hAnsi="Symbol" w:hint="default"/>
      </w:rPr>
    </w:lvl>
  </w:abstractNum>
  <w:abstractNum w:abstractNumId="1">
    <w:nsid w:val="122D7F76"/>
    <w:multiLevelType w:val="multilevel"/>
    <w:tmpl w:val="266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E76CD"/>
    <w:multiLevelType w:val="hybridMultilevel"/>
    <w:tmpl w:val="AC048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A92DAA"/>
    <w:multiLevelType w:val="hybridMultilevel"/>
    <w:tmpl w:val="F86AB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5F0A73"/>
    <w:multiLevelType w:val="hybridMultilevel"/>
    <w:tmpl w:val="15663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761F50"/>
    <w:multiLevelType w:val="multilevel"/>
    <w:tmpl w:val="D10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C4B04"/>
    <w:multiLevelType w:val="hybridMultilevel"/>
    <w:tmpl w:val="45FA0B6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1893601"/>
    <w:multiLevelType w:val="hybridMultilevel"/>
    <w:tmpl w:val="1722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E65FEB"/>
    <w:multiLevelType w:val="hybridMultilevel"/>
    <w:tmpl w:val="F2FC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BB923FF"/>
    <w:multiLevelType w:val="hybridMultilevel"/>
    <w:tmpl w:val="562E93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CB00859"/>
    <w:multiLevelType w:val="hybridMultilevel"/>
    <w:tmpl w:val="C6B0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0A60030"/>
    <w:multiLevelType w:val="multilevel"/>
    <w:tmpl w:val="D74E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135CC"/>
    <w:multiLevelType w:val="hybridMultilevel"/>
    <w:tmpl w:val="2586E114"/>
    <w:lvl w:ilvl="0" w:tplc="7DEE96B0">
      <w:start w:val="1"/>
      <w:numFmt w:val="bullet"/>
      <w:pStyle w:val="ListBullet"/>
      <w:lvlText w:val=""/>
      <w:lvlJc w:val="left"/>
      <w:pPr>
        <w:ind w:left="-1440" w:hanging="360"/>
      </w:pPr>
      <w:rPr>
        <w:rFonts w:ascii="Symbol" w:hAnsi="Symbol" w:hint="default"/>
      </w:rPr>
    </w:lvl>
    <w:lvl w:ilvl="1" w:tplc="7226A9FA">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5">
      <w:start w:val="1"/>
      <w:numFmt w:val="bullet"/>
      <w:lvlText w:val=""/>
      <w:lvlJc w:val="left"/>
      <w:pPr>
        <w:ind w:left="1440" w:hanging="360"/>
      </w:pPr>
      <w:rPr>
        <w:rFonts w:ascii="Wingdings" w:hAnsi="Wingdings"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3">
    <w:nsid w:val="746350E6"/>
    <w:multiLevelType w:val="multilevel"/>
    <w:tmpl w:val="884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C505E"/>
    <w:multiLevelType w:val="hybridMultilevel"/>
    <w:tmpl w:val="BDBA0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CF2250D"/>
    <w:multiLevelType w:val="multilevel"/>
    <w:tmpl w:val="3680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13"/>
  </w:num>
  <w:num w:numId="5">
    <w:abstractNumId w:val="15"/>
  </w:num>
  <w:num w:numId="6">
    <w:abstractNumId w:val="1"/>
  </w:num>
  <w:num w:numId="7">
    <w:abstractNumId w:val="5"/>
  </w:num>
  <w:num w:numId="8">
    <w:abstractNumId w:val="11"/>
  </w:num>
  <w:num w:numId="9">
    <w:abstractNumId w:val="8"/>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9"/>
  </w:num>
  <w:num w:numId="34">
    <w:abstractNumId w:val="2"/>
  </w:num>
  <w:num w:numId="35">
    <w:abstractNumId w:val="7"/>
  </w:num>
  <w:num w:numId="36">
    <w:abstractNumId w:val="14"/>
  </w:num>
  <w:num w:numId="37">
    <w:abstractNumId w:val="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59"/>
    <w:rsid w:val="00001D81"/>
    <w:rsid w:val="00003D66"/>
    <w:rsid w:val="0000423D"/>
    <w:rsid w:val="00006559"/>
    <w:rsid w:val="00051BF9"/>
    <w:rsid w:val="0005423A"/>
    <w:rsid w:val="00056B13"/>
    <w:rsid w:val="00077386"/>
    <w:rsid w:val="00094644"/>
    <w:rsid w:val="000B63E3"/>
    <w:rsid w:val="000D3822"/>
    <w:rsid w:val="000E43DB"/>
    <w:rsid w:val="000E6D59"/>
    <w:rsid w:val="001021BD"/>
    <w:rsid w:val="00111D1E"/>
    <w:rsid w:val="00113555"/>
    <w:rsid w:val="00120C09"/>
    <w:rsid w:val="001304B4"/>
    <w:rsid w:val="00134F4C"/>
    <w:rsid w:val="001452F5"/>
    <w:rsid w:val="00154146"/>
    <w:rsid w:val="00181537"/>
    <w:rsid w:val="001B4EEC"/>
    <w:rsid w:val="001C043B"/>
    <w:rsid w:val="001C4710"/>
    <w:rsid w:val="001E22DB"/>
    <w:rsid w:val="0020313F"/>
    <w:rsid w:val="00211D74"/>
    <w:rsid w:val="002213DC"/>
    <w:rsid w:val="002268BC"/>
    <w:rsid w:val="00243623"/>
    <w:rsid w:val="00265D0C"/>
    <w:rsid w:val="00292D1F"/>
    <w:rsid w:val="00294D4E"/>
    <w:rsid w:val="002D2FEC"/>
    <w:rsid w:val="002F0C2C"/>
    <w:rsid w:val="00314DBF"/>
    <w:rsid w:val="00317874"/>
    <w:rsid w:val="00332455"/>
    <w:rsid w:val="0034287F"/>
    <w:rsid w:val="00342D18"/>
    <w:rsid w:val="00350359"/>
    <w:rsid w:val="003577F7"/>
    <w:rsid w:val="00380D33"/>
    <w:rsid w:val="00385047"/>
    <w:rsid w:val="00396953"/>
    <w:rsid w:val="003C1636"/>
    <w:rsid w:val="003C424D"/>
    <w:rsid w:val="003D311E"/>
    <w:rsid w:val="003E4063"/>
    <w:rsid w:val="00427BC4"/>
    <w:rsid w:val="0043289C"/>
    <w:rsid w:val="00451A93"/>
    <w:rsid w:val="00452FC7"/>
    <w:rsid w:val="00464B71"/>
    <w:rsid w:val="0047362A"/>
    <w:rsid w:val="00481AE0"/>
    <w:rsid w:val="0048351F"/>
    <w:rsid w:val="0048438A"/>
    <w:rsid w:val="004A50EB"/>
    <w:rsid w:val="004B476E"/>
    <w:rsid w:val="004D67CA"/>
    <w:rsid w:val="00501C11"/>
    <w:rsid w:val="00510892"/>
    <w:rsid w:val="005145E0"/>
    <w:rsid w:val="00533719"/>
    <w:rsid w:val="0056421A"/>
    <w:rsid w:val="00571320"/>
    <w:rsid w:val="005A0009"/>
    <w:rsid w:val="005C4F07"/>
    <w:rsid w:val="005F4C6A"/>
    <w:rsid w:val="00600F6D"/>
    <w:rsid w:val="0060309A"/>
    <w:rsid w:val="00690D8D"/>
    <w:rsid w:val="006C18DF"/>
    <w:rsid w:val="006D0E9E"/>
    <w:rsid w:val="006E25BD"/>
    <w:rsid w:val="006E29C2"/>
    <w:rsid w:val="006F1603"/>
    <w:rsid w:val="00702FF1"/>
    <w:rsid w:val="007033B4"/>
    <w:rsid w:val="007112A4"/>
    <w:rsid w:val="0073246C"/>
    <w:rsid w:val="00744B58"/>
    <w:rsid w:val="00766731"/>
    <w:rsid w:val="007804EC"/>
    <w:rsid w:val="00792517"/>
    <w:rsid w:val="007B3EAB"/>
    <w:rsid w:val="007B589D"/>
    <w:rsid w:val="007C528D"/>
    <w:rsid w:val="007C53A9"/>
    <w:rsid w:val="007E2823"/>
    <w:rsid w:val="007F0F30"/>
    <w:rsid w:val="00805A34"/>
    <w:rsid w:val="00820B85"/>
    <w:rsid w:val="00845EE6"/>
    <w:rsid w:val="00875CA7"/>
    <w:rsid w:val="00882A36"/>
    <w:rsid w:val="00890B9A"/>
    <w:rsid w:val="008A4544"/>
    <w:rsid w:val="008C5E59"/>
    <w:rsid w:val="008D6039"/>
    <w:rsid w:val="00911E50"/>
    <w:rsid w:val="009163CA"/>
    <w:rsid w:val="00923E41"/>
    <w:rsid w:val="009274E2"/>
    <w:rsid w:val="009363F8"/>
    <w:rsid w:val="00946278"/>
    <w:rsid w:val="009464DF"/>
    <w:rsid w:val="00953118"/>
    <w:rsid w:val="00956CF9"/>
    <w:rsid w:val="00970163"/>
    <w:rsid w:val="00994769"/>
    <w:rsid w:val="009B4AA9"/>
    <w:rsid w:val="009B6F39"/>
    <w:rsid w:val="009E0BE2"/>
    <w:rsid w:val="009E7D04"/>
    <w:rsid w:val="009F1D38"/>
    <w:rsid w:val="00A27A0F"/>
    <w:rsid w:val="00A27AE1"/>
    <w:rsid w:val="00A27F71"/>
    <w:rsid w:val="00A3578E"/>
    <w:rsid w:val="00A55610"/>
    <w:rsid w:val="00A66110"/>
    <w:rsid w:val="00A87CC0"/>
    <w:rsid w:val="00A9030D"/>
    <w:rsid w:val="00A93C8F"/>
    <w:rsid w:val="00A93F9F"/>
    <w:rsid w:val="00A95669"/>
    <w:rsid w:val="00AA079E"/>
    <w:rsid w:val="00AA7343"/>
    <w:rsid w:val="00AD242D"/>
    <w:rsid w:val="00AE2D8E"/>
    <w:rsid w:val="00B3524D"/>
    <w:rsid w:val="00B57BC7"/>
    <w:rsid w:val="00B66E8E"/>
    <w:rsid w:val="00B673F9"/>
    <w:rsid w:val="00B8483A"/>
    <w:rsid w:val="00BA2ABA"/>
    <w:rsid w:val="00BB0135"/>
    <w:rsid w:val="00BB5501"/>
    <w:rsid w:val="00C06D83"/>
    <w:rsid w:val="00C15BCB"/>
    <w:rsid w:val="00C21E71"/>
    <w:rsid w:val="00C43669"/>
    <w:rsid w:val="00C52D97"/>
    <w:rsid w:val="00C729BF"/>
    <w:rsid w:val="00C773CD"/>
    <w:rsid w:val="00CB6E0A"/>
    <w:rsid w:val="00CC575C"/>
    <w:rsid w:val="00CC62E3"/>
    <w:rsid w:val="00CD21FD"/>
    <w:rsid w:val="00CD44BD"/>
    <w:rsid w:val="00CE698E"/>
    <w:rsid w:val="00CF3440"/>
    <w:rsid w:val="00CF3F0F"/>
    <w:rsid w:val="00CF735B"/>
    <w:rsid w:val="00CF7D53"/>
    <w:rsid w:val="00D010FA"/>
    <w:rsid w:val="00D03AD2"/>
    <w:rsid w:val="00D15207"/>
    <w:rsid w:val="00D1633F"/>
    <w:rsid w:val="00D257DD"/>
    <w:rsid w:val="00D36CCA"/>
    <w:rsid w:val="00D621D5"/>
    <w:rsid w:val="00D71391"/>
    <w:rsid w:val="00D72D2A"/>
    <w:rsid w:val="00D86928"/>
    <w:rsid w:val="00DA1D29"/>
    <w:rsid w:val="00DC4E55"/>
    <w:rsid w:val="00DC524A"/>
    <w:rsid w:val="00DD79FE"/>
    <w:rsid w:val="00DE2E07"/>
    <w:rsid w:val="00DF5044"/>
    <w:rsid w:val="00E0400B"/>
    <w:rsid w:val="00E1799D"/>
    <w:rsid w:val="00E22B11"/>
    <w:rsid w:val="00E313E4"/>
    <w:rsid w:val="00E57DE7"/>
    <w:rsid w:val="00E7294A"/>
    <w:rsid w:val="00E731F4"/>
    <w:rsid w:val="00E775B6"/>
    <w:rsid w:val="00EB36DD"/>
    <w:rsid w:val="00EB73F3"/>
    <w:rsid w:val="00EC6179"/>
    <w:rsid w:val="00EF13E8"/>
    <w:rsid w:val="00EF15DC"/>
    <w:rsid w:val="00F15EE6"/>
    <w:rsid w:val="00F22B03"/>
    <w:rsid w:val="00F34BF2"/>
    <w:rsid w:val="00F46343"/>
    <w:rsid w:val="00F54783"/>
    <w:rsid w:val="00F71095"/>
    <w:rsid w:val="00FA0FD4"/>
    <w:rsid w:val="00FD1FC9"/>
    <w:rsid w:val="00FE1A0F"/>
    <w:rsid w:val="00FF6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E5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DC4E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46C"/>
    <w:pPr>
      <w:keepNext/>
      <w:keepLines/>
      <w:spacing w:before="200" w:after="0" w:line="240" w:lineRule="auto"/>
      <w:outlineLvl w:val="2"/>
    </w:pPr>
    <w:rPr>
      <w:rFonts w:asciiTheme="majorHAnsi" w:eastAsiaTheme="majorEastAsia" w:hAnsiTheme="majorHAnsi" w:cstheme="majorBidi"/>
      <w:b/>
      <w:bCs/>
      <w:color w:val="4F81BD" w:themeColor="accent1"/>
      <w:szCs w:val="24"/>
      <w:lang w:eastAsia="en-US"/>
    </w:rPr>
  </w:style>
  <w:style w:type="paragraph" w:styleId="Heading4">
    <w:name w:val="heading 4"/>
    <w:basedOn w:val="Normal"/>
    <w:next w:val="Normal"/>
    <w:link w:val="Heading4Char"/>
    <w:uiPriority w:val="9"/>
    <w:semiHidden/>
    <w:unhideWhenUsed/>
    <w:qFormat/>
    <w:rsid w:val="00C52D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246C"/>
    <w:rPr>
      <w:rFonts w:asciiTheme="majorHAnsi" w:eastAsiaTheme="majorEastAsia" w:hAnsiTheme="majorHAnsi" w:cstheme="majorBidi"/>
      <w:b/>
      <w:bCs/>
      <w:color w:val="4F81BD" w:themeColor="accent1"/>
      <w:szCs w:val="24"/>
      <w:lang w:eastAsia="en-US"/>
    </w:rPr>
  </w:style>
  <w:style w:type="character" w:customStyle="1" w:styleId="Redfont">
    <w:name w:val="Red font"/>
    <w:qFormat/>
    <w:rsid w:val="0073246C"/>
    <w:rPr>
      <w:i/>
      <w:iCs/>
      <w:color w:val="FF0000"/>
    </w:rPr>
  </w:style>
  <w:style w:type="paragraph" w:styleId="ListBullet">
    <w:name w:val="List Bullet"/>
    <w:basedOn w:val="Normal"/>
    <w:uiPriority w:val="99"/>
    <w:unhideWhenUsed/>
    <w:rsid w:val="0073246C"/>
    <w:pPr>
      <w:numPr>
        <w:numId w:val="1"/>
      </w:numPr>
      <w:spacing w:after="120"/>
      <w:contextualSpacing/>
    </w:pPr>
    <w:rPr>
      <w:lang w:eastAsia="en-US"/>
    </w:rPr>
  </w:style>
  <w:style w:type="paragraph" w:customStyle="1" w:styleId="Default">
    <w:name w:val="Default"/>
    <w:rsid w:val="003D311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32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455"/>
    <w:rPr>
      <w:sz w:val="20"/>
      <w:szCs w:val="20"/>
    </w:rPr>
  </w:style>
  <w:style w:type="character" w:styleId="FootnoteReference">
    <w:name w:val="footnote reference"/>
    <w:basedOn w:val="DefaultParagraphFont"/>
    <w:uiPriority w:val="99"/>
    <w:semiHidden/>
    <w:unhideWhenUsed/>
    <w:rsid w:val="00332455"/>
    <w:rPr>
      <w:vertAlign w:val="superscript"/>
    </w:rPr>
  </w:style>
  <w:style w:type="character" w:styleId="Hyperlink">
    <w:name w:val="Hyperlink"/>
    <w:basedOn w:val="DefaultParagraphFont"/>
    <w:uiPriority w:val="99"/>
    <w:unhideWhenUsed/>
    <w:rsid w:val="00332455"/>
    <w:rPr>
      <w:color w:val="0000FF" w:themeColor="hyperlink"/>
      <w:u w:val="single"/>
    </w:rPr>
  </w:style>
  <w:style w:type="character" w:styleId="FollowedHyperlink">
    <w:name w:val="FollowedHyperlink"/>
    <w:basedOn w:val="DefaultParagraphFont"/>
    <w:uiPriority w:val="99"/>
    <w:semiHidden/>
    <w:unhideWhenUsed/>
    <w:rsid w:val="002F0C2C"/>
    <w:rPr>
      <w:color w:val="800080" w:themeColor="followedHyperlink"/>
      <w:u w:val="single"/>
    </w:rPr>
  </w:style>
  <w:style w:type="character" w:customStyle="1" w:styleId="Heading2Char">
    <w:name w:val="Heading 2 Char"/>
    <w:basedOn w:val="DefaultParagraphFont"/>
    <w:link w:val="Heading2"/>
    <w:uiPriority w:val="9"/>
    <w:semiHidden/>
    <w:rsid w:val="00DC4E5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C4E5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DC4E55"/>
    <w:pPr>
      <w:ind w:left="720"/>
      <w:contextualSpacing/>
    </w:pPr>
    <w:rPr>
      <w:lang w:eastAsia="en-US"/>
    </w:rPr>
  </w:style>
  <w:style w:type="paragraph" w:styleId="Header">
    <w:name w:val="header"/>
    <w:basedOn w:val="Normal"/>
    <w:link w:val="HeaderChar"/>
    <w:uiPriority w:val="99"/>
    <w:unhideWhenUsed/>
    <w:rsid w:val="00DC4E55"/>
    <w:pPr>
      <w:tabs>
        <w:tab w:val="center" w:pos="4513"/>
        <w:tab w:val="right" w:pos="9026"/>
      </w:tabs>
      <w:spacing w:after="0" w:line="240" w:lineRule="auto"/>
    </w:pPr>
    <w:rPr>
      <w:lang w:eastAsia="en-US"/>
    </w:rPr>
  </w:style>
  <w:style w:type="character" w:customStyle="1" w:styleId="HeaderChar">
    <w:name w:val="Header Char"/>
    <w:basedOn w:val="DefaultParagraphFont"/>
    <w:link w:val="Header"/>
    <w:uiPriority w:val="99"/>
    <w:rsid w:val="00DC4E55"/>
    <w:rPr>
      <w:lang w:eastAsia="en-US"/>
    </w:rPr>
  </w:style>
  <w:style w:type="paragraph" w:styleId="Footer">
    <w:name w:val="footer"/>
    <w:basedOn w:val="Normal"/>
    <w:link w:val="FooterChar"/>
    <w:uiPriority w:val="99"/>
    <w:unhideWhenUsed/>
    <w:rsid w:val="00DC4E55"/>
    <w:pPr>
      <w:tabs>
        <w:tab w:val="center" w:pos="4513"/>
        <w:tab w:val="right" w:pos="9026"/>
      </w:tabs>
      <w:spacing w:after="0" w:line="240" w:lineRule="auto"/>
    </w:pPr>
    <w:rPr>
      <w:lang w:eastAsia="en-US"/>
    </w:rPr>
  </w:style>
  <w:style w:type="character" w:customStyle="1" w:styleId="FooterChar">
    <w:name w:val="Footer Char"/>
    <w:basedOn w:val="DefaultParagraphFont"/>
    <w:link w:val="Footer"/>
    <w:uiPriority w:val="99"/>
    <w:rsid w:val="00DC4E55"/>
    <w:rPr>
      <w:lang w:eastAsia="en-US"/>
    </w:rPr>
  </w:style>
  <w:style w:type="paragraph" w:styleId="BalloonText">
    <w:name w:val="Balloon Text"/>
    <w:basedOn w:val="Normal"/>
    <w:link w:val="BalloonTextChar"/>
    <w:uiPriority w:val="99"/>
    <w:semiHidden/>
    <w:unhideWhenUsed/>
    <w:rsid w:val="00DC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55"/>
    <w:rPr>
      <w:rFonts w:ascii="Tahoma" w:hAnsi="Tahoma" w:cs="Tahoma"/>
      <w:sz w:val="16"/>
      <w:szCs w:val="16"/>
    </w:rPr>
  </w:style>
  <w:style w:type="character" w:styleId="CommentReference">
    <w:name w:val="annotation reference"/>
    <w:basedOn w:val="DefaultParagraphFont"/>
    <w:uiPriority w:val="99"/>
    <w:semiHidden/>
    <w:unhideWhenUsed/>
    <w:rsid w:val="002213DC"/>
    <w:rPr>
      <w:sz w:val="16"/>
      <w:szCs w:val="16"/>
    </w:rPr>
  </w:style>
  <w:style w:type="paragraph" w:styleId="CommentText">
    <w:name w:val="annotation text"/>
    <w:basedOn w:val="Normal"/>
    <w:link w:val="CommentTextChar"/>
    <w:uiPriority w:val="99"/>
    <w:semiHidden/>
    <w:unhideWhenUsed/>
    <w:rsid w:val="002213DC"/>
    <w:pPr>
      <w:spacing w:line="240" w:lineRule="auto"/>
    </w:pPr>
    <w:rPr>
      <w:sz w:val="20"/>
      <w:szCs w:val="20"/>
    </w:rPr>
  </w:style>
  <w:style w:type="character" w:customStyle="1" w:styleId="CommentTextChar">
    <w:name w:val="Comment Text Char"/>
    <w:basedOn w:val="DefaultParagraphFont"/>
    <w:link w:val="CommentText"/>
    <w:uiPriority w:val="99"/>
    <w:semiHidden/>
    <w:rsid w:val="002213DC"/>
    <w:rPr>
      <w:sz w:val="20"/>
      <w:szCs w:val="20"/>
    </w:rPr>
  </w:style>
  <w:style w:type="paragraph" w:styleId="CommentSubject">
    <w:name w:val="annotation subject"/>
    <w:basedOn w:val="CommentText"/>
    <w:next w:val="CommentText"/>
    <w:link w:val="CommentSubjectChar"/>
    <w:uiPriority w:val="99"/>
    <w:semiHidden/>
    <w:unhideWhenUsed/>
    <w:rsid w:val="002213DC"/>
    <w:rPr>
      <w:b/>
      <w:bCs/>
    </w:rPr>
  </w:style>
  <w:style w:type="character" w:customStyle="1" w:styleId="CommentSubjectChar">
    <w:name w:val="Comment Subject Char"/>
    <w:basedOn w:val="CommentTextChar"/>
    <w:link w:val="CommentSubject"/>
    <w:uiPriority w:val="99"/>
    <w:semiHidden/>
    <w:rsid w:val="002213DC"/>
    <w:rPr>
      <w:b/>
      <w:bCs/>
      <w:sz w:val="20"/>
      <w:szCs w:val="20"/>
    </w:rPr>
  </w:style>
  <w:style w:type="character" w:customStyle="1" w:styleId="apple-converted-space">
    <w:name w:val="apple-converted-space"/>
    <w:basedOn w:val="DefaultParagraphFont"/>
    <w:rsid w:val="00CF3440"/>
  </w:style>
  <w:style w:type="character" w:customStyle="1" w:styleId="apple-style-span">
    <w:name w:val="apple-style-span"/>
    <w:basedOn w:val="DefaultParagraphFont"/>
    <w:rsid w:val="00C52D97"/>
  </w:style>
  <w:style w:type="character" w:customStyle="1" w:styleId="Heading4Char">
    <w:name w:val="Heading 4 Char"/>
    <w:basedOn w:val="DefaultParagraphFont"/>
    <w:link w:val="Heading4"/>
    <w:uiPriority w:val="9"/>
    <w:semiHidden/>
    <w:rsid w:val="00C52D9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B476E"/>
    <w:rPr>
      <w:rFonts w:ascii="Times New Roman" w:hAnsi="Times New Roman" w:cs="Times New Roman"/>
      <w:sz w:val="24"/>
      <w:szCs w:val="24"/>
    </w:rPr>
  </w:style>
  <w:style w:type="paragraph" w:styleId="Subtitle">
    <w:name w:val="Subtitle"/>
    <w:basedOn w:val="Normal"/>
    <w:next w:val="Normal"/>
    <w:link w:val="SubtitleChar"/>
    <w:uiPriority w:val="11"/>
    <w:qFormat/>
    <w:rsid w:val="008A45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454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E5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DC4E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46C"/>
    <w:pPr>
      <w:keepNext/>
      <w:keepLines/>
      <w:spacing w:before="200" w:after="0" w:line="240" w:lineRule="auto"/>
      <w:outlineLvl w:val="2"/>
    </w:pPr>
    <w:rPr>
      <w:rFonts w:asciiTheme="majorHAnsi" w:eastAsiaTheme="majorEastAsia" w:hAnsiTheme="majorHAnsi" w:cstheme="majorBidi"/>
      <w:b/>
      <w:bCs/>
      <w:color w:val="4F81BD" w:themeColor="accent1"/>
      <w:szCs w:val="24"/>
      <w:lang w:eastAsia="en-US"/>
    </w:rPr>
  </w:style>
  <w:style w:type="paragraph" w:styleId="Heading4">
    <w:name w:val="heading 4"/>
    <w:basedOn w:val="Normal"/>
    <w:next w:val="Normal"/>
    <w:link w:val="Heading4Char"/>
    <w:uiPriority w:val="9"/>
    <w:semiHidden/>
    <w:unhideWhenUsed/>
    <w:qFormat/>
    <w:rsid w:val="00C52D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246C"/>
    <w:rPr>
      <w:rFonts w:asciiTheme="majorHAnsi" w:eastAsiaTheme="majorEastAsia" w:hAnsiTheme="majorHAnsi" w:cstheme="majorBidi"/>
      <w:b/>
      <w:bCs/>
      <w:color w:val="4F81BD" w:themeColor="accent1"/>
      <w:szCs w:val="24"/>
      <w:lang w:eastAsia="en-US"/>
    </w:rPr>
  </w:style>
  <w:style w:type="character" w:customStyle="1" w:styleId="Redfont">
    <w:name w:val="Red font"/>
    <w:qFormat/>
    <w:rsid w:val="0073246C"/>
    <w:rPr>
      <w:i/>
      <w:iCs/>
      <w:color w:val="FF0000"/>
    </w:rPr>
  </w:style>
  <w:style w:type="paragraph" w:styleId="ListBullet">
    <w:name w:val="List Bullet"/>
    <w:basedOn w:val="Normal"/>
    <w:uiPriority w:val="99"/>
    <w:unhideWhenUsed/>
    <w:rsid w:val="0073246C"/>
    <w:pPr>
      <w:numPr>
        <w:numId w:val="1"/>
      </w:numPr>
      <w:spacing w:after="120"/>
      <w:contextualSpacing/>
    </w:pPr>
    <w:rPr>
      <w:lang w:eastAsia="en-US"/>
    </w:rPr>
  </w:style>
  <w:style w:type="paragraph" w:customStyle="1" w:styleId="Default">
    <w:name w:val="Default"/>
    <w:rsid w:val="003D311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32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455"/>
    <w:rPr>
      <w:sz w:val="20"/>
      <w:szCs w:val="20"/>
    </w:rPr>
  </w:style>
  <w:style w:type="character" w:styleId="FootnoteReference">
    <w:name w:val="footnote reference"/>
    <w:basedOn w:val="DefaultParagraphFont"/>
    <w:uiPriority w:val="99"/>
    <w:semiHidden/>
    <w:unhideWhenUsed/>
    <w:rsid w:val="00332455"/>
    <w:rPr>
      <w:vertAlign w:val="superscript"/>
    </w:rPr>
  </w:style>
  <w:style w:type="character" w:styleId="Hyperlink">
    <w:name w:val="Hyperlink"/>
    <w:basedOn w:val="DefaultParagraphFont"/>
    <w:uiPriority w:val="99"/>
    <w:unhideWhenUsed/>
    <w:rsid w:val="00332455"/>
    <w:rPr>
      <w:color w:val="0000FF" w:themeColor="hyperlink"/>
      <w:u w:val="single"/>
    </w:rPr>
  </w:style>
  <w:style w:type="character" w:styleId="FollowedHyperlink">
    <w:name w:val="FollowedHyperlink"/>
    <w:basedOn w:val="DefaultParagraphFont"/>
    <w:uiPriority w:val="99"/>
    <w:semiHidden/>
    <w:unhideWhenUsed/>
    <w:rsid w:val="002F0C2C"/>
    <w:rPr>
      <w:color w:val="800080" w:themeColor="followedHyperlink"/>
      <w:u w:val="single"/>
    </w:rPr>
  </w:style>
  <w:style w:type="character" w:customStyle="1" w:styleId="Heading2Char">
    <w:name w:val="Heading 2 Char"/>
    <w:basedOn w:val="DefaultParagraphFont"/>
    <w:link w:val="Heading2"/>
    <w:uiPriority w:val="9"/>
    <w:semiHidden/>
    <w:rsid w:val="00DC4E5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C4E5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DC4E55"/>
    <w:pPr>
      <w:ind w:left="720"/>
      <w:contextualSpacing/>
    </w:pPr>
    <w:rPr>
      <w:lang w:eastAsia="en-US"/>
    </w:rPr>
  </w:style>
  <w:style w:type="paragraph" w:styleId="Header">
    <w:name w:val="header"/>
    <w:basedOn w:val="Normal"/>
    <w:link w:val="HeaderChar"/>
    <w:uiPriority w:val="99"/>
    <w:unhideWhenUsed/>
    <w:rsid w:val="00DC4E55"/>
    <w:pPr>
      <w:tabs>
        <w:tab w:val="center" w:pos="4513"/>
        <w:tab w:val="right" w:pos="9026"/>
      </w:tabs>
      <w:spacing w:after="0" w:line="240" w:lineRule="auto"/>
    </w:pPr>
    <w:rPr>
      <w:lang w:eastAsia="en-US"/>
    </w:rPr>
  </w:style>
  <w:style w:type="character" w:customStyle="1" w:styleId="HeaderChar">
    <w:name w:val="Header Char"/>
    <w:basedOn w:val="DefaultParagraphFont"/>
    <w:link w:val="Header"/>
    <w:uiPriority w:val="99"/>
    <w:rsid w:val="00DC4E55"/>
    <w:rPr>
      <w:lang w:eastAsia="en-US"/>
    </w:rPr>
  </w:style>
  <w:style w:type="paragraph" w:styleId="Footer">
    <w:name w:val="footer"/>
    <w:basedOn w:val="Normal"/>
    <w:link w:val="FooterChar"/>
    <w:uiPriority w:val="99"/>
    <w:unhideWhenUsed/>
    <w:rsid w:val="00DC4E55"/>
    <w:pPr>
      <w:tabs>
        <w:tab w:val="center" w:pos="4513"/>
        <w:tab w:val="right" w:pos="9026"/>
      </w:tabs>
      <w:spacing w:after="0" w:line="240" w:lineRule="auto"/>
    </w:pPr>
    <w:rPr>
      <w:lang w:eastAsia="en-US"/>
    </w:rPr>
  </w:style>
  <w:style w:type="character" w:customStyle="1" w:styleId="FooterChar">
    <w:name w:val="Footer Char"/>
    <w:basedOn w:val="DefaultParagraphFont"/>
    <w:link w:val="Footer"/>
    <w:uiPriority w:val="99"/>
    <w:rsid w:val="00DC4E55"/>
    <w:rPr>
      <w:lang w:eastAsia="en-US"/>
    </w:rPr>
  </w:style>
  <w:style w:type="paragraph" w:styleId="BalloonText">
    <w:name w:val="Balloon Text"/>
    <w:basedOn w:val="Normal"/>
    <w:link w:val="BalloonTextChar"/>
    <w:uiPriority w:val="99"/>
    <w:semiHidden/>
    <w:unhideWhenUsed/>
    <w:rsid w:val="00DC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55"/>
    <w:rPr>
      <w:rFonts w:ascii="Tahoma" w:hAnsi="Tahoma" w:cs="Tahoma"/>
      <w:sz w:val="16"/>
      <w:szCs w:val="16"/>
    </w:rPr>
  </w:style>
  <w:style w:type="character" w:styleId="CommentReference">
    <w:name w:val="annotation reference"/>
    <w:basedOn w:val="DefaultParagraphFont"/>
    <w:uiPriority w:val="99"/>
    <w:semiHidden/>
    <w:unhideWhenUsed/>
    <w:rsid w:val="002213DC"/>
    <w:rPr>
      <w:sz w:val="16"/>
      <w:szCs w:val="16"/>
    </w:rPr>
  </w:style>
  <w:style w:type="paragraph" w:styleId="CommentText">
    <w:name w:val="annotation text"/>
    <w:basedOn w:val="Normal"/>
    <w:link w:val="CommentTextChar"/>
    <w:uiPriority w:val="99"/>
    <w:semiHidden/>
    <w:unhideWhenUsed/>
    <w:rsid w:val="002213DC"/>
    <w:pPr>
      <w:spacing w:line="240" w:lineRule="auto"/>
    </w:pPr>
    <w:rPr>
      <w:sz w:val="20"/>
      <w:szCs w:val="20"/>
    </w:rPr>
  </w:style>
  <w:style w:type="character" w:customStyle="1" w:styleId="CommentTextChar">
    <w:name w:val="Comment Text Char"/>
    <w:basedOn w:val="DefaultParagraphFont"/>
    <w:link w:val="CommentText"/>
    <w:uiPriority w:val="99"/>
    <w:semiHidden/>
    <w:rsid w:val="002213DC"/>
    <w:rPr>
      <w:sz w:val="20"/>
      <w:szCs w:val="20"/>
    </w:rPr>
  </w:style>
  <w:style w:type="paragraph" w:styleId="CommentSubject">
    <w:name w:val="annotation subject"/>
    <w:basedOn w:val="CommentText"/>
    <w:next w:val="CommentText"/>
    <w:link w:val="CommentSubjectChar"/>
    <w:uiPriority w:val="99"/>
    <w:semiHidden/>
    <w:unhideWhenUsed/>
    <w:rsid w:val="002213DC"/>
    <w:rPr>
      <w:b/>
      <w:bCs/>
    </w:rPr>
  </w:style>
  <w:style w:type="character" w:customStyle="1" w:styleId="CommentSubjectChar">
    <w:name w:val="Comment Subject Char"/>
    <w:basedOn w:val="CommentTextChar"/>
    <w:link w:val="CommentSubject"/>
    <w:uiPriority w:val="99"/>
    <w:semiHidden/>
    <w:rsid w:val="002213DC"/>
    <w:rPr>
      <w:b/>
      <w:bCs/>
      <w:sz w:val="20"/>
      <w:szCs w:val="20"/>
    </w:rPr>
  </w:style>
  <w:style w:type="character" w:customStyle="1" w:styleId="apple-converted-space">
    <w:name w:val="apple-converted-space"/>
    <w:basedOn w:val="DefaultParagraphFont"/>
    <w:rsid w:val="00CF3440"/>
  </w:style>
  <w:style w:type="character" w:customStyle="1" w:styleId="apple-style-span">
    <w:name w:val="apple-style-span"/>
    <w:basedOn w:val="DefaultParagraphFont"/>
    <w:rsid w:val="00C52D97"/>
  </w:style>
  <w:style w:type="character" w:customStyle="1" w:styleId="Heading4Char">
    <w:name w:val="Heading 4 Char"/>
    <w:basedOn w:val="DefaultParagraphFont"/>
    <w:link w:val="Heading4"/>
    <w:uiPriority w:val="9"/>
    <w:semiHidden/>
    <w:rsid w:val="00C52D9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B476E"/>
    <w:rPr>
      <w:rFonts w:ascii="Times New Roman" w:hAnsi="Times New Roman" w:cs="Times New Roman"/>
      <w:sz w:val="24"/>
      <w:szCs w:val="24"/>
    </w:rPr>
  </w:style>
  <w:style w:type="paragraph" w:styleId="Subtitle">
    <w:name w:val="Subtitle"/>
    <w:basedOn w:val="Normal"/>
    <w:next w:val="Normal"/>
    <w:link w:val="SubtitleChar"/>
    <w:uiPriority w:val="11"/>
    <w:qFormat/>
    <w:rsid w:val="008A45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45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9522">
      <w:bodyDiv w:val="1"/>
      <w:marLeft w:val="0"/>
      <w:marRight w:val="0"/>
      <w:marTop w:val="0"/>
      <w:marBottom w:val="0"/>
      <w:divBdr>
        <w:top w:val="none" w:sz="0" w:space="0" w:color="auto"/>
        <w:left w:val="none" w:sz="0" w:space="0" w:color="auto"/>
        <w:bottom w:val="none" w:sz="0" w:space="0" w:color="auto"/>
        <w:right w:val="none" w:sz="0" w:space="0" w:color="auto"/>
      </w:divBdr>
    </w:div>
    <w:div w:id="368605274">
      <w:bodyDiv w:val="1"/>
      <w:marLeft w:val="0"/>
      <w:marRight w:val="0"/>
      <w:marTop w:val="0"/>
      <w:marBottom w:val="0"/>
      <w:divBdr>
        <w:top w:val="none" w:sz="0" w:space="0" w:color="auto"/>
        <w:left w:val="none" w:sz="0" w:space="0" w:color="auto"/>
        <w:bottom w:val="none" w:sz="0" w:space="0" w:color="auto"/>
        <w:right w:val="none" w:sz="0" w:space="0" w:color="auto"/>
      </w:divBdr>
    </w:div>
    <w:div w:id="1687904336">
      <w:bodyDiv w:val="1"/>
      <w:marLeft w:val="0"/>
      <w:marRight w:val="0"/>
      <w:marTop w:val="0"/>
      <w:marBottom w:val="0"/>
      <w:divBdr>
        <w:top w:val="none" w:sz="0" w:space="0" w:color="auto"/>
        <w:left w:val="none" w:sz="0" w:space="0" w:color="auto"/>
        <w:bottom w:val="none" w:sz="0" w:space="0" w:color="auto"/>
        <w:right w:val="none" w:sz="0" w:space="0" w:color="auto"/>
      </w:divBdr>
    </w:div>
    <w:div w:id="20539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8" Type="http://schemas.openxmlformats.org/officeDocument/2006/relationships/hyperlink" Target="http://reportcard.opa.ca.gov/rc/hmorating.aspx" TargetMode="External"/><Relationship Id="rId13" Type="http://schemas.openxmlformats.org/officeDocument/2006/relationships/hyperlink" Target="http://www.pc.gov.au/__data/assets/pdf_file/0010/7021/57privatehealth.pdf" TargetMode="External"/><Relationship Id="rId3" Type="http://schemas.openxmlformats.org/officeDocument/2006/relationships/hyperlink" Target="http://www.abs.gov.au/ausstats/abs@.nsf/Lookup/E334D0A98272E4DCCA257B39000F2DCF?opendocument" TargetMode="External"/><Relationship Id="rId7" Type="http://schemas.openxmlformats.org/officeDocument/2006/relationships/hyperlink" Target="http://www.medicare.gov/hospitalcompare/search.html" TargetMode="External"/><Relationship Id="rId12" Type="http://schemas.openxmlformats.org/officeDocument/2006/relationships/hyperlink" Target="http://dx.doi.org/10.1787/health-data-en" TargetMode="External"/><Relationship Id="rId17" Type="http://schemas.openxmlformats.org/officeDocument/2006/relationships/hyperlink" Target="http://parlinfo.aph.gov.au/parlInfo/search/display/display.w3p;query=Id%3A%22media%2Fpressclp%2F819753%22" TargetMode="External"/><Relationship Id="rId2" Type="http://schemas.openxmlformats.org/officeDocument/2006/relationships/hyperlink" Target="http://www.aph.gov.au/About_Parliament/Parliamentary_Departments/Parliamentary_Library/pubs/rp/rp1112/12rp04" TargetMode="External"/><Relationship Id="rId16" Type="http://schemas.openxmlformats.org/officeDocument/2006/relationships/hyperlink" Target="http://www.pc.gov.au/__data/assets/pdf_file/0010/7021/57privatehealth.pdf" TargetMode="External"/><Relationship Id="rId1" Type="http://schemas.openxmlformats.org/officeDocument/2006/relationships/hyperlink" Target="http://www.aicgs.org/site/wp-content/uploads/2012/06/PR51-Health-Care-Goepffarth.pdf" TargetMode="External"/><Relationship Id="rId6" Type="http://schemas.openxmlformats.org/officeDocument/2006/relationships/hyperlink" Target="http://www.pc.gov.au/_data/assets/pdf_file/0015/93030/hospitals-report.pdf" TargetMode="External"/><Relationship Id="rId11" Type="http://schemas.openxmlformats.org/officeDocument/2006/relationships/hyperlink" Target="http://www.oecd-ilibrary.org/docserver/download/5kmfxfq9qbnr.pdf?expires=1402884291&amp;id=id&amp;accname=guest&amp;checksum=7DE59567C23D14068DE764C895D0F05B" TargetMode="External"/><Relationship Id="rId5" Type="http://schemas.openxmlformats.org/officeDocument/2006/relationships/hyperlink" Target="http://www.ecineq.org/ecineq_bari13/FILESxBari13/CR2/p116.pdf" TargetMode="External"/><Relationship Id="rId15" Type="http://schemas.openxmlformats.org/officeDocument/2006/relationships/hyperlink" Target="http://parlinfo.aph.gov.au/parlInfo/download/library/jrnart/598683/upload_binary/598683.pdf;fileType=application%2Fpdf" TargetMode="External"/><Relationship Id="rId10" Type="http://schemas.openxmlformats.org/officeDocument/2006/relationships/hyperlink" Target="http://www.oecd-ilibrary.org/docserver/download/5kmfxfq9qbnr.pdf?expires=1402884291&amp;id=id&amp;accname=guest&amp;checksum=7DE59567C23D14068DE764C895D0F05B" TargetMode="External"/><Relationship Id="rId4" Type="http://schemas.openxmlformats.org/officeDocument/2006/relationships/hyperlink" Target="http://www.who.int/social_determinants/themes/en/" TargetMode="External"/><Relationship Id="rId9" Type="http://schemas.openxmlformats.org/officeDocument/2006/relationships/hyperlink" Target="http://phiac.gov.au/industry/industry-statistics/statistical-trends/" TargetMode="External"/><Relationship Id="rId14" Type="http://schemas.openxmlformats.org/officeDocument/2006/relationships/hyperlink" Target="http://phiac.gov.au/wp-content/uploads/2013/12/2012-13-accessible-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partel\AppData\Local\Microsoft\Windows\Temporary%20Internet%20Files\Content.Outlook\I9K1P14I\812013161P1G13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911947117721395"/>
          <c:y val="2.1467601359956588E-2"/>
          <c:w val="0.68828813065033545"/>
          <c:h val="0.88235533849408065"/>
        </c:manualLayout>
      </c:layout>
      <c:barChart>
        <c:barDir val="bar"/>
        <c:grouping val="stacked"/>
        <c:varyColors val="0"/>
        <c:ser>
          <c:idx val="1"/>
          <c:order val="0"/>
          <c:tx>
            <c:strRef>
              <c:f>Data6.1.2!$C$6</c:f>
              <c:strCache>
                <c:ptCount val="1"/>
                <c:pt idx="0">
                  <c:v>Primary</c:v>
                </c:pt>
              </c:strCache>
            </c:strRef>
          </c:tx>
          <c:spPr>
            <a:solidFill>
              <a:schemeClr val="accent1">
                <a:lumMod val="20000"/>
                <a:lumOff val="80000"/>
              </a:schemeClr>
            </a:solidFill>
            <a:ln>
              <a:noFill/>
            </a:ln>
          </c:spPr>
          <c:invertIfNegative val="0"/>
          <c:dPt>
            <c:idx val="11"/>
            <c:invertIfNegative val="0"/>
            <c:bubble3D val="0"/>
          </c:dPt>
          <c:dLbls>
            <c:dLbl>
              <c:idx val="6"/>
              <c:delete val="1"/>
            </c:dLbl>
            <c:dLbl>
              <c:idx val="11"/>
              <c:layout>
                <c:manualLayout>
                  <c:x val="0.18865590981455188"/>
                  <c:y val="2.2337633327748926E-7"/>
                </c:manualLayout>
              </c:layout>
              <c:dLblPos val="ctr"/>
              <c:showLegendKey val="0"/>
              <c:showVal val="1"/>
              <c:showCatName val="0"/>
              <c:showSerName val="0"/>
              <c:showPercent val="0"/>
              <c:showBubbleSize val="0"/>
            </c:dLbl>
            <c:dLbl>
              <c:idx val="12"/>
              <c:delete val="1"/>
            </c:dLbl>
            <c:dLbl>
              <c:idx val="13"/>
              <c:delete val="1"/>
            </c:dLbl>
            <c:dLbl>
              <c:idx val="17"/>
              <c:layout>
                <c:manualLayout>
                  <c:x val="0.10727945295447082"/>
                  <c:y val="0"/>
                </c:manualLayout>
              </c:layout>
              <c:dLblPos val="ctr"/>
              <c:showLegendKey val="0"/>
              <c:showVal val="1"/>
              <c:showCatName val="0"/>
              <c:showSerName val="0"/>
              <c:showPercent val="0"/>
              <c:showBubbleSize val="0"/>
            </c:dLbl>
            <c:dLbl>
              <c:idx val="18"/>
              <c:layout>
                <c:manualLayout>
                  <c:x val="0.10246605291475225"/>
                  <c:y val="0"/>
                </c:manualLayout>
              </c:layout>
              <c:dLblPos val="ctr"/>
              <c:showLegendKey val="0"/>
              <c:showVal val="1"/>
              <c:showCatName val="0"/>
              <c:showSerName val="0"/>
              <c:showPercent val="0"/>
              <c:showBubbleSize val="0"/>
            </c:dLbl>
            <c:dLbl>
              <c:idx val="19"/>
              <c:delete val="1"/>
            </c:dLbl>
            <c:dLbl>
              <c:idx val="20"/>
              <c:delete val="1"/>
            </c:dLbl>
            <c:dLbl>
              <c:idx val="21"/>
              <c:layout>
                <c:manualLayout>
                  <c:x val="5.1946766266629509E-2"/>
                  <c:y val="0"/>
                </c:manualLayout>
              </c:layout>
              <c:dLblPos val="ctr"/>
              <c:showLegendKey val="0"/>
              <c:showVal val="1"/>
              <c:showCatName val="0"/>
              <c:showSerName val="0"/>
              <c:showPercent val="0"/>
              <c:showBubbleSize val="0"/>
            </c:dLbl>
            <c:dLbl>
              <c:idx val="22"/>
              <c:layout>
                <c:manualLayout>
                  <c:x val="6.1554349955709804E-2"/>
                  <c:y val="0"/>
                </c:manualLayout>
              </c:layout>
              <c:dLblPos val="ctr"/>
              <c:showLegendKey val="0"/>
              <c:showVal val="1"/>
              <c:showCatName val="0"/>
              <c:showSerName val="0"/>
              <c:showPercent val="0"/>
              <c:showBubbleSize val="0"/>
            </c:dLbl>
            <c:dLbl>
              <c:idx val="23"/>
              <c:layout>
                <c:manualLayout>
                  <c:x val="4.2031497062500173E-2"/>
                  <c:y val="0"/>
                </c:manualLayout>
              </c:layout>
              <c:dLblPos val="ctr"/>
              <c:showLegendKey val="0"/>
              <c:showVal val="1"/>
              <c:showCatName val="0"/>
              <c:showSerName val="0"/>
              <c:showPercent val="0"/>
              <c:showBubbleSize val="0"/>
            </c:dLbl>
            <c:dLbl>
              <c:idx val="24"/>
              <c:layout>
                <c:manualLayout>
                  <c:x val="2.4458844283808786E-2"/>
                  <c:y val="-1.0401771090807824E-16"/>
                </c:manualLayout>
              </c:layout>
              <c:dLblPos val="ctr"/>
              <c:showLegendKey val="0"/>
              <c:showVal val="1"/>
              <c:showCatName val="0"/>
              <c:showSerName val="0"/>
              <c:showPercent val="0"/>
              <c:showBubbleSize val="0"/>
            </c:dLbl>
            <c:txPr>
              <a:bodyPr/>
              <a:lstStyle/>
              <a:p>
                <a:pPr>
                  <a:defRPr sz="8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Data6.1.2!$A$7:$A$30</c:f>
              <c:strCache>
                <c:ptCount val="24"/>
                <c:pt idx="0">
                  <c:v>France</c:v>
                </c:pt>
                <c:pt idx="1">
                  <c:v>Netherlands</c:v>
                </c:pt>
                <c:pt idx="2">
                  <c:v>Israel</c:v>
                </c:pt>
                <c:pt idx="3">
                  <c:v>Belgium</c:v>
                </c:pt>
                <c:pt idx="4">
                  <c:v>Slovenia</c:v>
                </c:pt>
                <c:pt idx="5">
                  <c:v>Canada</c:v>
                </c:pt>
                <c:pt idx="6">
                  <c:v>United States</c:v>
                </c:pt>
                <c:pt idx="7">
                  <c:v>Luxembourg</c:v>
                </c:pt>
                <c:pt idx="8">
                  <c:v>Australia</c:v>
                </c:pt>
                <c:pt idx="9">
                  <c:v>Korea</c:v>
                </c:pt>
                <c:pt idx="10">
                  <c:v>Ireland</c:v>
                </c:pt>
                <c:pt idx="11">
                  <c:v>Austria</c:v>
                </c:pt>
                <c:pt idx="12">
                  <c:v>Germany</c:v>
                </c:pt>
                <c:pt idx="13">
                  <c:v>New Zealand</c:v>
                </c:pt>
                <c:pt idx="14">
                  <c:v>Switzerland</c:v>
                </c:pt>
                <c:pt idx="15">
                  <c:v>Denmark</c:v>
                </c:pt>
                <c:pt idx="16">
                  <c:v>Portugal</c:v>
                </c:pt>
                <c:pt idx="17">
                  <c:v>Chile</c:v>
                </c:pt>
                <c:pt idx="18">
                  <c:v>Finland</c:v>
                </c:pt>
                <c:pt idx="19">
                  <c:v>Spain</c:v>
                </c:pt>
                <c:pt idx="20">
                  <c:v>Greece</c:v>
                </c:pt>
                <c:pt idx="21">
                  <c:v>Mexico</c:v>
                </c:pt>
                <c:pt idx="22">
                  <c:v>Turkey</c:v>
                </c:pt>
                <c:pt idx="23">
                  <c:v>Iceland</c:v>
                </c:pt>
              </c:strCache>
            </c:strRef>
          </c:cat>
          <c:val>
            <c:numRef>
              <c:f>Data6.1.2!$C$7:$C$30</c:f>
              <c:numCache>
                <c:formatCode>General</c:formatCode>
                <c:ptCount val="24"/>
                <c:pt idx="6" formatCode="0.0">
                  <c:v>53.1</c:v>
                </c:pt>
                <c:pt idx="12" formatCode="0.0">
                  <c:v>11</c:v>
                </c:pt>
                <c:pt idx="17" formatCode="0.0">
                  <c:v>17</c:v>
                </c:pt>
                <c:pt idx="19" formatCode="0.0">
                  <c:v>0.9</c:v>
                </c:pt>
                <c:pt idx="21" formatCode="0.0">
                  <c:v>6.9</c:v>
                </c:pt>
                <c:pt idx="22" formatCode="0.0">
                  <c:v>4.5999999999999996</c:v>
                </c:pt>
                <c:pt idx="23" formatCode="0.0">
                  <c:v>0.2</c:v>
                </c:pt>
              </c:numCache>
            </c:numRef>
          </c:val>
        </c:ser>
        <c:ser>
          <c:idx val="3"/>
          <c:order val="1"/>
          <c:tx>
            <c:strRef>
              <c:f>Data6.1.2!$D$6</c:f>
              <c:strCache>
                <c:ptCount val="1"/>
                <c:pt idx="0">
                  <c:v>Complementary</c:v>
                </c:pt>
              </c:strCache>
            </c:strRef>
          </c:tx>
          <c:spPr>
            <a:solidFill>
              <a:schemeClr val="bg1">
                <a:lumMod val="75000"/>
              </a:schemeClr>
            </a:solidFill>
          </c:spPr>
          <c:invertIfNegative val="0"/>
          <c:dLbls>
            <c:dLbl>
              <c:idx val="3"/>
              <c:layout>
                <c:manualLayout>
                  <c:x val="0.3274384422006551"/>
                  <c:y val="0"/>
                </c:manualLayout>
              </c:layout>
              <c:dLblPos val="ctr"/>
              <c:showLegendKey val="0"/>
              <c:showVal val="1"/>
              <c:showCatName val="0"/>
              <c:showSerName val="0"/>
              <c:showPercent val="0"/>
              <c:showBubbleSize val="0"/>
            </c:dLbl>
            <c:dLbl>
              <c:idx val="4"/>
              <c:delete val="1"/>
            </c:dLbl>
            <c:dLbl>
              <c:idx val="6"/>
              <c:layout>
                <c:manualLayout>
                  <c:x val="7.1534467676463848E-2"/>
                  <c:y val="2.1993059430304986E-7"/>
                </c:manualLayout>
              </c:layout>
              <c:tx>
                <c:rich>
                  <a:bodyPr/>
                  <a:lstStyle/>
                  <a:p>
                    <a:r>
                      <a:rPr lang="en-AU"/>
                      <a:t>60.6</a:t>
                    </a:r>
                  </a:p>
                </c:rich>
              </c:tx>
              <c:dLblPos val="ctr"/>
              <c:showLegendKey val="0"/>
              <c:showVal val="0"/>
              <c:showCatName val="0"/>
              <c:showSerName val="0"/>
              <c:showPercent val="0"/>
              <c:showBubbleSize val="0"/>
            </c:dLbl>
            <c:dLbl>
              <c:idx val="7"/>
              <c:layout>
                <c:manualLayout>
                  <c:x val="0.23200583665075777"/>
                  <c:y val="2.3574897449196096E-7"/>
                </c:manualLayout>
              </c:layout>
              <c:dLblPos val="ctr"/>
              <c:showLegendKey val="0"/>
              <c:showVal val="1"/>
              <c:showCatName val="0"/>
              <c:showSerName val="0"/>
              <c:showPercent val="0"/>
              <c:showBubbleSize val="0"/>
            </c:dLbl>
            <c:dLbl>
              <c:idx val="9"/>
              <c:layout>
                <c:manualLayout>
                  <c:x val="0.22059602685556451"/>
                  <c:y val="0"/>
                </c:manualLayout>
              </c:layout>
              <c:dLblPos val="ctr"/>
              <c:showLegendKey val="0"/>
              <c:showVal val="1"/>
              <c:showCatName val="0"/>
              <c:showSerName val="0"/>
              <c:showPercent val="0"/>
              <c:showBubbleSize val="0"/>
            </c:dLbl>
            <c:dLbl>
              <c:idx val="12"/>
              <c:layout>
                <c:manualLayout>
                  <c:x val="0.12265598578919501"/>
                  <c:y val="2.2757270948067907E-7"/>
                </c:manualLayout>
              </c:layout>
              <c:tx>
                <c:rich>
                  <a:bodyPr/>
                  <a:lstStyle/>
                  <a:p>
                    <a:r>
                      <a:rPr lang="en-AU"/>
                      <a:t>31.9</a:t>
                    </a:r>
                  </a:p>
                </c:rich>
              </c:tx>
              <c:dLblPos val="ctr"/>
              <c:showLegendKey val="0"/>
              <c:showVal val="0"/>
              <c:showCatName val="0"/>
              <c:showSerName val="0"/>
              <c:showPercent val="0"/>
              <c:showBubbleSize val="0"/>
            </c:dLbl>
            <c:dLbl>
              <c:idx val="13"/>
              <c:delete val="1"/>
            </c:dLbl>
            <c:dLbl>
              <c:idx val="14"/>
              <c:layout>
                <c:manualLayout>
                  <c:x val="0.15030215040907305"/>
                  <c:y val="0"/>
                </c:manualLayout>
              </c:layout>
              <c:dLblPos val="ctr"/>
              <c:showLegendKey val="0"/>
              <c:showVal val="1"/>
              <c:showCatName val="0"/>
              <c:showSerName val="0"/>
              <c:showPercent val="0"/>
              <c:showBubbleSize val="0"/>
            </c:dLbl>
            <c:dLbl>
              <c:idx val="15"/>
              <c:layout>
                <c:manualLayout>
                  <c:x val="0.12070102626226947"/>
                  <c:y val="0"/>
                </c:manualLayout>
              </c:layout>
              <c:dLblPos val="ctr"/>
              <c:showLegendKey val="0"/>
              <c:showVal val="1"/>
              <c:showCatName val="0"/>
              <c:showSerName val="0"/>
              <c:showPercent val="0"/>
              <c:showBubbleSize val="0"/>
            </c:dLbl>
            <c:dLbl>
              <c:idx val="16"/>
              <c:layout>
                <c:manualLayout>
                  <c:x val="0.11588774830478077"/>
                  <c:y val="0"/>
                </c:manualLayout>
              </c:layout>
              <c:dLblPos val="ctr"/>
              <c:showLegendKey val="0"/>
              <c:showVal val="1"/>
              <c:showCatName val="0"/>
              <c:showSerName val="0"/>
              <c:showPercent val="0"/>
              <c:showBubbleSize val="0"/>
            </c:dLbl>
            <c:numFmt formatCode="#,##0.0" sourceLinked="0"/>
            <c:txPr>
              <a:bodyPr/>
              <a:lstStyle/>
              <a:p>
                <a:pPr>
                  <a:defRPr sz="8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Data6.1.2!$A$7:$A$30</c:f>
              <c:strCache>
                <c:ptCount val="24"/>
                <c:pt idx="0">
                  <c:v>France</c:v>
                </c:pt>
                <c:pt idx="1">
                  <c:v>Netherlands</c:v>
                </c:pt>
                <c:pt idx="2">
                  <c:v>Israel</c:v>
                </c:pt>
                <c:pt idx="3">
                  <c:v>Belgium</c:v>
                </c:pt>
                <c:pt idx="4">
                  <c:v>Slovenia</c:v>
                </c:pt>
                <c:pt idx="5">
                  <c:v>Canada</c:v>
                </c:pt>
                <c:pt idx="6">
                  <c:v>United States</c:v>
                </c:pt>
                <c:pt idx="7">
                  <c:v>Luxembourg</c:v>
                </c:pt>
                <c:pt idx="8">
                  <c:v>Australia</c:v>
                </c:pt>
                <c:pt idx="9">
                  <c:v>Korea</c:v>
                </c:pt>
                <c:pt idx="10">
                  <c:v>Ireland</c:v>
                </c:pt>
                <c:pt idx="11">
                  <c:v>Austria</c:v>
                </c:pt>
                <c:pt idx="12">
                  <c:v>Germany</c:v>
                </c:pt>
                <c:pt idx="13">
                  <c:v>New Zealand</c:v>
                </c:pt>
                <c:pt idx="14">
                  <c:v>Switzerland</c:v>
                </c:pt>
                <c:pt idx="15">
                  <c:v>Denmark</c:v>
                </c:pt>
                <c:pt idx="16">
                  <c:v>Portugal</c:v>
                </c:pt>
                <c:pt idx="17">
                  <c:v>Chile</c:v>
                </c:pt>
                <c:pt idx="18">
                  <c:v>Finland</c:v>
                </c:pt>
                <c:pt idx="19">
                  <c:v>Spain</c:v>
                </c:pt>
                <c:pt idx="20">
                  <c:v>Greece</c:v>
                </c:pt>
                <c:pt idx="21">
                  <c:v>Mexico</c:v>
                </c:pt>
                <c:pt idx="22">
                  <c:v>Turkey</c:v>
                </c:pt>
                <c:pt idx="23">
                  <c:v>Iceland</c:v>
                </c:pt>
              </c:strCache>
            </c:strRef>
          </c:cat>
          <c:val>
            <c:numRef>
              <c:f>Data6.1.2!$D$7:$D$30</c:f>
              <c:numCache>
                <c:formatCode>General</c:formatCode>
                <c:ptCount val="24"/>
                <c:pt idx="0" formatCode="0.0">
                  <c:v>96.1</c:v>
                </c:pt>
                <c:pt idx="3" formatCode="0.0">
                  <c:v>79.599999999999994</c:v>
                </c:pt>
                <c:pt idx="4" formatCode="0.0">
                  <c:v>70.7</c:v>
                </c:pt>
                <c:pt idx="6" formatCode="0.0">
                  <c:v>7.5</c:v>
                </c:pt>
                <c:pt idx="7" formatCode="0.0">
                  <c:v>54</c:v>
                </c:pt>
                <c:pt idx="9" formatCode="0.0">
                  <c:v>51.1</c:v>
                </c:pt>
                <c:pt idx="12" formatCode="0.0">
                  <c:v>21</c:v>
                </c:pt>
                <c:pt idx="13" formatCode="0.0">
                  <c:v>30.8</c:v>
                </c:pt>
                <c:pt idx="15" formatCode="0.0">
                  <c:v>20.8</c:v>
                </c:pt>
              </c:numCache>
            </c:numRef>
          </c:val>
        </c:ser>
        <c:ser>
          <c:idx val="4"/>
          <c:order val="2"/>
          <c:tx>
            <c:strRef>
              <c:f>Data6.1.2!$E$6</c:f>
              <c:strCache>
                <c:ptCount val="1"/>
                <c:pt idx="0">
                  <c:v>Supplementary</c:v>
                </c:pt>
              </c:strCache>
            </c:strRef>
          </c:tx>
          <c:spPr>
            <a:solidFill>
              <a:schemeClr val="tx2">
                <a:lumMod val="60000"/>
                <a:lumOff val="40000"/>
              </a:schemeClr>
            </a:solidFill>
          </c:spPr>
          <c:invertIfNegative val="0"/>
          <c:dLbls>
            <c:dLbl>
              <c:idx val="1"/>
              <c:layout>
                <c:manualLayout>
                  <c:x val="0.33936263566447655"/>
                  <c:y val="0"/>
                </c:manualLayout>
              </c:layout>
              <c:dLblPos val="ctr"/>
              <c:showLegendKey val="0"/>
              <c:showVal val="1"/>
              <c:showCatName val="0"/>
              <c:showSerName val="0"/>
              <c:showPercent val="0"/>
              <c:showBubbleSize val="0"/>
            </c:dLbl>
            <c:dLbl>
              <c:idx val="2"/>
              <c:layout>
                <c:manualLayout>
                  <c:x val="0.31277060458134076"/>
                  <c:y val="0"/>
                </c:manualLayout>
              </c:layout>
              <c:dLblPos val="ctr"/>
              <c:showLegendKey val="0"/>
              <c:showVal val="1"/>
              <c:showCatName val="0"/>
              <c:showSerName val="0"/>
              <c:showPercent val="0"/>
              <c:showBubbleSize val="0"/>
            </c:dLbl>
            <c:dLbl>
              <c:idx val="4"/>
              <c:delete val="1"/>
            </c:dLbl>
            <c:dLbl>
              <c:idx val="5"/>
              <c:layout>
                <c:manualLayout>
                  <c:x val="0.27572685193092727"/>
                  <c:y val="2.2757270948067907E-7"/>
                </c:manualLayout>
              </c:layout>
              <c:dLblPos val="ctr"/>
              <c:showLegendKey val="0"/>
              <c:showVal val="1"/>
              <c:showCatName val="0"/>
              <c:showSerName val="0"/>
              <c:showPercent val="0"/>
              <c:showBubbleSize val="0"/>
            </c:dLbl>
            <c:dLbl>
              <c:idx val="8"/>
              <c:delete val="1"/>
            </c:dLbl>
            <c:dLbl>
              <c:idx val="11"/>
              <c:layout>
                <c:manualLayout>
                  <c:x val="0.17121678851586675"/>
                  <c:y val="-5.4229973688384904E-17"/>
                </c:manualLayout>
              </c:layout>
              <c:dLblPos val="ctr"/>
              <c:showLegendKey val="0"/>
              <c:showVal val="1"/>
              <c:showCatName val="0"/>
              <c:showSerName val="0"/>
              <c:showPercent val="0"/>
              <c:showBubbleSize val="0"/>
            </c:dLbl>
            <c:dLbl>
              <c:idx val="14"/>
              <c:layout>
                <c:manualLayout>
                  <c:x val="0.15502210368587929"/>
                  <c:y val="0"/>
                </c:manualLayout>
              </c:layout>
              <c:dLblPos val="ctr"/>
              <c:showLegendKey val="0"/>
              <c:showVal val="1"/>
              <c:showCatName val="0"/>
              <c:showSerName val="0"/>
              <c:showPercent val="0"/>
              <c:showBubbleSize val="0"/>
            </c:dLbl>
            <c:dLbl>
              <c:idx val="15"/>
              <c:layout>
                <c:manualLayout>
                  <c:x val="0.14582847968298973"/>
                  <c:y val="0"/>
                </c:manualLayout>
              </c:layout>
              <c:dLblPos val="ctr"/>
              <c:showLegendKey val="0"/>
              <c:showVal val="1"/>
              <c:showCatName val="0"/>
              <c:showSerName val="0"/>
              <c:showPercent val="0"/>
              <c:showBubbleSize val="0"/>
            </c:dLbl>
            <c:dLbl>
              <c:idx val="18"/>
              <c:layout>
                <c:manualLayout>
                  <c:x val="9.7987488375558499E-2"/>
                  <c:y val="0"/>
                </c:manualLayout>
              </c:layout>
              <c:dLblPos val="ctr"/>
              <c:showLegendKey val="0"/>
              <c:showVal val="1"/>
              <c:showCatName val="0"/>
              <c:showSerName val="0"/>
              <c:showPercent val="0"/>
              <c:showBubbleSize val="0"/>
            </c:dLbl>
            <c:dLbl>
              <c:idx val="19"/>
              <c:layout>
                <c:manualLayout>
                  <c:x val="0.10185116231403829"/>
                  <c:y val="0"/>
                </c:manualLayout>
              </c:layout>
              <c:dLblPos val="ctr"/>
              <c:showLegendKey val="0"/>
              <c:showVal val="1"/>
              <c:showCatName val="0"/>
              <c:showSerName val="0"/>
              <c:showPercent val="0"/>
              <c:showBubbleSize val="0"/>
            </c:dLbl>
            <c:numFmt formatCode="#,##0.0" sourceLinked="0"/>
            <c:txPr>
              <a:bodyPr/>
              <a:lstStyle/>
              <a:p>
                <a:pPr>
                  <a:defRPr sz="8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Data6.1.2!$A$7:$A$30</c:f>
              <c:strCache>
                <c:ptCount val="24"/>
                <c:pt idx="0">
                  <c:v>France</c:v>
                </c:pt>
                <c:pt idx="1">
                  <c:v>Netherlands</c:v>
                </c:pt>
                <c:pt idx="2">
                  <c:v>Israel</c:v>
                </c:pt>
                <c:pt idx="3">
                  <c:v>Belgium</c:v>
                </c:pt>
                <c:pt idx="4">
                  <c:v>Slovenia</c:v>
                </c:pt>
                <c:pt idx="5">
                  <c:v>Canada</c:v>
                </c:pt>
                <c:pt idx="6">
                  <c:v>United States</c:v>
                </c:pt>
                <c:pt idx="7">
                  <c:v>Luxembourg</c:v>
                </c:pt>
                <c:pt idx="8">
                  <c:v>Australia</c:v>
                </c:pt>
                <c:pt idx="9">
                  <c:v>Korea</c:v>
                </c:pt>
                <c:pt idx="10">
                  <c:v>Ireland</c:v>
                </c:pt>
                <c:pt idx="11">
                  <c:v>Austria</c:v>
                </c:pt>
                <c:pt idx="12">
                  <c:v>Germany</c:v>
                </c:pt>
                <c:pt idx="13">
                  <c:v>New Zealand</c:v>
                </c:pt>
                <c:pt idx="14">
                  <c:v>Switzerland</c:v>
                </c:pt>
                <c:pt idx="15">
                  <c:v>Denmark</c:v>
                </c:pt>
                <c:pt idx="16">
                  <c:v>Portugal</c:v>
                </c:pt>
                <c:pt idx="17">
                  <c:v>Chile</c:v>
                </c:pt>
                <c:pt idx="18">
                  <c:v>Finland</c:v>
                </c:pt>
                <c:pt idx="19">
                  <c:v>Spain</c:v>
                </c:pt>
                <c:pt idx="20">
                  <c:v>Greece</c:v>
                </c:pt>
                <c:pt idx="21">
                  <c:v>Mexico</c:v>
                </c:pt>
                <c:pt idx="22">
                  <c:v>Turkey</c:v>
                </c:pt>
                <c:pt idx="23">
                  <c:v>Iceland</c:v>
                </c:pt>
              </c:strCache>
            </c:strRef>
          </c:cat>
          <c:val>
            <c:numRef>
              <c:f>Data6.1.2!$E$7:$E$30</c:f>
              <c:numCache>
                <c:formatCode>0.0</c:formatCode>
                <c:ptCount val="24"/>
                <c:pt idx="1">
                  <c:v>89</c:v>
                </c:pt>
                <c:pt idx="2">
                  <c:v>80</c:v>
                </c:pt>
                <c:pt idx="4">
                  <c:v>2.1</c:v>
                </c:pt>
                <c:pt idx="5">
                  <c:v>68</c:v>
                </c:pt>
                <c:pt idx="8">
                  <c:v>7.2</c:v>
                </c:pt>
                <c:pt idx="11">
                  <c:v>34.200000000000003</c:v>
                </c:pt>
                <c:pt idx="14">
                  <c:v>29.5</c:v>
                </c:pt>
                <c:pt idx="18">
                  <c:v>14.2</c:v>
                </c:pt>
              </c:numCache>
            </c:numRef>
          </c:val>
        </c:ser>
        <c:ser>
          <c:idx val="2"/>
          <c:order val="3"/>
          <c:tx>
            <c:strRef>
              <c:f>Data6.1.2!$F$6</c:f>
              <c:strCache>
                <c:ptCount val="1"/>
                <c:pt idx="0">
                  <c:v>Duplicate</c:v>
                </c:pt>
              </c:strCache>
            </c:strRef>
          </c:tx>
          <c:spPr>
            <a:solidFill>
              <a:schemeClr val="tx1"/>
            </a:solidFill>
          </c:spPr>
          <c:invertIfNegative val="0"/>
          <c:dLbls>
            <c:dLbl>
              <c:idx val="4"/>
              <c:layout>
                <c:manualLayout>
                  <c:x val="5.0792600646277559E-2"/>
                  <c:y val="0"/>
                </c:manualLayout>
              </c:layout>
              <c:tx>
                <c:rich>
                  <a:bodyPr/>
                  <a:lstStyle/>
                  <a:p>
                    <a:r>
                      <a:rPr lang="en-AU"/>
                      <a:t>73</a:t>
                    </a:r>
                  </a:p>
                </c:rich>
              </c:tx>
              <c:dLblPos val="ctr"/>
              <c:showLegendKey val="0"/>
              <c:showVal val="0"/>
              <c:showCatName val="0"/>
              <c:showSerName val="0"/>
              <c:showPercent val="0"/>
              <c:showBubbleSize val="0"/>
            </c:dLbl>
            <c:dLbl>
              <c:idx val="8"/>
              <c:layout>
                <c:manualLayout>
                  <c:x val="0.20501617073648598"/>
                  <c:y val="0"/>
                </c:manualLayout>
              </c:layout>
              <c:tx>
                <c:rich>
                  <a:bodyPr/>
                  <a:lstStyle/>
                  <a:p>
                    <a:r>
                      <a:rPr lang="en-AU"/>
                      <a:t>52.5</a:t>
                    </a:r>
                  </a:p>
                </c:rich>
              </c:tx>
              <c:dLblPos val="ctr"/>
              <c:showLegendKey val="0"/>
              <c:showVal val="0"/>
              <c:showCatName val="0"/>
              <c:showSerName val="0"/>
              <c:showPercent val="0"/>
              <c:showBubbleSize val="0"/>
            </c:dLbl>
            <c:dLbl>
              <c:idx val="10"/>
              <c:layout>
                <c:manualLayout>
                  <c:x val="0.21258757999133512"/>
                  <c:y val="-5.1206581830757171E-17"/>
                </c:manualLayout>
              </c:layout>
              <c:dLblPos val="ctr"/>
              <c:showLegendKey val="0"/>
              <c:showVal val="1"/>
              <c:showCatName val="0"/>
              <c:showSerName val="0"/>
              <c:showPercent val="0"/>
              <c:showBubbleSize val="0"/>
            </c:dLbl>
            <c:dLbl>
              <c:idx val="16"/>
              <c:layout>
                <c:manualLayout>
                  <c:x val="0.10849812215252923"/>
                  <c:y val="0"/>
                </c:manualLayout>
              </c:layout>
              <c:dLblPos val="ctr"/>
              <c:showLegendKey val="0"/>
              <c:showVal val="1"/>
              <c:showCatName val="0"/>
              <c:showSerName val="0"/>
              <c:showPercent val="0"/>
              <c:showBubbleSize val="0"/>
            </c:dLbl>
            <c:dLbl>
              <c:idx val="17"/>
              <c:layout>
                <c:manualLayout>
                  <c:x val="0.1084139236693774"/>
                  <c:y val="0"/>
                </c:manualLayout>
              </c:layout>
              <c:dLblPos val="ctr"/>
              <c:showLegendKey val="0"/>
              <c:showVal val="1"/>
              <c:showCatName val="0"/>
              <c:showSerName val="0"/>
              <c:showPercent val="0"/>
              <c:showBubbleSize val="0"/>
            </c:dLbl>
            <c:dLbl>
              <c:idx val="19"/>
              <c:layout>
                <c:manualLayout>
                  <c:x val="9.213697938369074E-2"/>
                  <c:y val="1.0241316366151434E-16"/>
                </c:manualLayout>
              </c:layout>
              <c:tx>
                <c:rich>
                  <a:bodyPr/>
                  <a:lstStyle/>
                  <a:p>
                    <a:r>
                      <a:rPr lang="en-AU"/>
                      <a:t>13.4</a:t>
                    </a:r>
                  </a:p>
                </c:rich>
              </c:tx>
              <c:dLblPos val="ctr"/>
              <c:showLegendKey val="0"/>
              <c:showVal val="0"/>
              <c:showCatName val="0"/>
              <c:showSerName val="0"/>
              <c:showPercent val="0"/>
              <c:showBubbleSize val="0"/>
            </c:dLbl>
            <c:dLbl>
              <c:idx val="20"/>
              <c:delete val="1"/>
            </c:dLbl>
            <c:dLbl>
              <c:idx val="21"/>
              <c:layout>
                <c:manualLayout>
                  <c:x val="7.4302826900735808E-2"/>
                  <c:y val="-1.0401771090807824E-16"/>
                </c:manualLayout>
              </c:layout>
              <c:dLblPos val="ctr"/>
              <c:showLegendKey val="0"/>
              <c:showVal val="1"/>
              <c:showCatName val="0"/>
              <c:showSerName val="0"/>
              <c:showPercent val="0"/>
              <c:showBubbleSize val="0"/>
            </c:dLbl>
            <c:numFmt formatCode="#,##0.0" sourceLinked="0"/>
            <c:txPr>
              <a:bodyPr/>
              <a:lstStyle/>
              <a:p>
                <a:pPr>
                  <a:defRPr sz="8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Data6.1.2!$A$7:$A$30</c:f>
              <c:strCache>
                <c:ptCount val="24"/>
                <c:pt idx="0">
                  <c:v>France</c:v>
                </c:pt>
                <c:pt idx="1">
                  <c:v>Netherlands</c:v>
                </c:pt>
                <c:pt idx="2">
                  <c:v>Israel</c:v>
                </c:pt>
                <c:pt idx="3">
                  <c:v>Belgium</c:v>
                </c:pt>
                <c:pt idx="4">
                  <c:v>Slovenia</c:v>
                </c:pt>
                <c:pt idx="5">
                  <c:v>Canada</c:v>
                </c:pt>
                <c:pt idx="6">
                  <c:v>United States</c:v>
                </c:pt>
                <c:pt idx="7">
                  <c:v>Luxembourg</c:v>
                </c:pt>
                <c:pt idx="8">
                  <c:v>Australia</c:v>
                </c:pt>
                <c:pt idx="9">
                  <c:v>Korea</c:v>
                </c:pt>
                <c:pt idx="10">
                  <c:v>Ireland</c:v>
                </c:pt>
                <c:pt idx="11">
                  <c:v>Austria</c:v>
                </c:pt>
                <c:pt idx="12">
                  <c:v>Germany</c:v>
                </c:pt>
                <c:pt idx="13">
                  <c:v>New Zealand</c:v>
                </c:pt>
                <c:pt idx="14">
                  <c:v>Switzerland</c:v>
                </c:pt>
                <c:pt idx="15">
                  <c:v>Denmark</c:v>
                </c:pt>
                <c:pt idx="16">
                  <c:v>Portugal</c:v>
                </c:pt>
                <c:pt idx="17">
                  <c:v>Chile</c:v>
                </c:pt>
                <c:pt idx="18">
                  <c:v>Finland</c:v>
                </c:pt>
                <c:pt idx="19">
                  <c:v>Spain</c:v>
                </c:pt>
                <c:pt idx="20">
                  <c:v>Greece</c:v>
                </c:pt>
                <c:pt idx="21">
                  <c:v>Mexico</c:v>
                </c:pt>
                <c:pt idx="22">
                  <c:v>Turkey</c:v>
                </c:pt>
                <c:pt idx="23">
                  <c:v>Iceland</c:v>
                </c:pt>
              </c:strCache>
            </c:strRef>
          </c:cat>
          <c:val>
            <c:numRef>
              <c:f>Data6.1.2!$F$7:$F$30</c:f>
              <c:numCache>
                <c:formatCode>General</c:formatCode>
                <c:ptCount val="24"/>
                <c:pt idx="4" formatCode="0.0">
                  <c:v>0.2</c:v>
                </c:pt>
                <c:pt idx="8" formatCode="0.0">
                  <c:v>45.3</c:v>
                </c:pt>
                <c:pt idx="10" formatCode="0.0">
                  <c:v>47.5</c:v>
                </c:pt>
                <c:pt idx="16" formatCode="0.0">
                  <c:v>19.8</c:v>
                </c:pt>
                <c:pt idx="19" formatCode="0.0">
                  <c:v>12.5</c:v>
                </c:pt>
                <c:pt idx="20" formatCode="0.0">
                  <c:v>12</c:v>
                </c:pt>
              </c:numCache>
            </c:numRef>
          </c:val>
        </c:ser>
        <c:dLbls>
          <c:showLegendKey val="0"/>
          <c:showVal val="0"/>
          <c:showCatName val="0"/>
          <c:showSerName val="0"/>
          <c:showPercent val="0"/>
          <c:showBubbleSize val="0"/>
        </c:dLbls>
        <c:gapWidth val="50"/>
        <c:overlap val="100"/>
        <c:axId val="241845760"/>
        <c:axId val="241847296"/>
      </c:barChart>
      <c:catAx>
        <c:axId val="241845760"/>
        <c:scaling>
          <c:orientation val="maxMin"/>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41847296"/>
        <c:crosses val="autoZero"/>
        <c:auto val="1"/>
        <c:lblAlgn val="ctr"/>
        <c:lblOffset val="100"/>
        <c:tickLblSkip val="1"/>
        <c:tickMarkSkip val="1"/>
        <c:noMultiLvlLbl val="0"/>
      </c:catAx>
      <c:valAx>
        <c:axId val="241847296"/>
        <c:scaling>
          <c:orientation val="minMax"/>
          <c:max val="100"/>
        </c:scaling>
        <c:delete val="0"/>
        <c:axPos val="b"/>
        <c:majorGridlines>
          <c:spPr>
            <a:ln w="3175">
              <a:solidFill>
                <a:srgbClr val="C0C0C0"/>
              </a:solidFill>
              <a:prstDash val="solid"/>
            </a:ln>
          </c:spPr>
        </c:majorGridlines>
        <c:title>
          <c:tx>
            <c:rich>
              <a:bodyPr/>
              <a:lstStyle/>
              <a:p>
                <a:pPr>
                  <a:defRPr sz="800" b="0" i="0" u="none" strike="noStrike" baseline="0">
                    <a:solidFill>
                      <a:srgbClr val="000000"/>
                    </a:solidFill>
                    <a:latin typeface="Arial"/>
                    <a:ea typeface="Arial"/>
                    <a:cs typeface="Arial"/>
                  </a:defRPr>
                </a:pPr>
                <a:r>
                  <a:rPr lang="en-AU"/>
                  <a:t>Percentage of total population</a:t>
                </a:r>
              </a:p>
            </c:rich>
          </c:tx>
          <c:layout>
            <c:manualLayout>
              <c:xMode val="edge"/>
              <c:yMode val="edge"/>
              <c:x val="0.43398511251667315"/>
              <c:y val="0.9563819564927265"/>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41845760"/>
        <c:crosses val="max"/>
        <c:crossBetween val="between"/>
        <c:majorUnit val="20"/>
      </c:valAx>
      <c:spPr>
        <a:noFill/>
        <a:ln w="12700">
          <a:solidFill>
            <a:srgbClr val="808080"/>
          </a:solidFill>
          <a:prstDash val="solid"/>
        </a:ln>
      </c:spPr>
    </c:plotArea>
    <c:legend>
      <c:legendPos val="r"/>
      <c:layout>
        <c:manualLayout>
          <c:xMode val="edge"/>
          <c:yMode val="edge"/>
          <c:x val="0.61311475409836069"/>
          <c:y val="0.52330552960540944"/>
          <c:w val="0.24918032786885247"/>
          <c:h val="0.14406801903999289"/>
        </c:manualLayout>
      </c:layout>
      <c:overlay val="1"/>
      <c:spPr>
        <a:solidFill>
          <a:schemeClr val="bg1"/>
        </a:solidFill>
      </c:spPr>
      <c:txPr>
        <a:bodyPr/>
        <a:lstStyle/>
        <a:p>
          <a:pPr>
            <a:defRPr sz="5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0.30544</cdr:x>
      <cdr:y>0.74959</cdr:y>
    </cdr:from>
    <cdr:to>
      <cdr:x>0.50618</cdr:x>
      <cdr:y>0.79786</cdr:y>
    </cdr:to>
    <cdr:sp macro="" textlink="">
      <cdr:nvSpPr>
        <cdr:cNvPr id="2" name="TextBox 1"/>
        <cdr:cNvSpPr txBox="1"/>
      </cdr:nvSpPr>
      <cdr:spPr>
        <a:xfrm xmlns:a="http://schemas.openxmlformats.org/drawingml/2006/main">
          <a:off x="877634" y="3235167"/>
          <a:ext cx="583116" cy="2034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12.0</a:t>
          </a:r>
        </a:p>
      </cdr:txBody>
    </cdr:sp>
  </cdr:relSizeAnchor>
  <cdr:relSizeAnchor xmlns:cdr="http://schemas.openxmlformats.org/drawingml/2006/chartDrawing">
    <cdr:from>
      <cdr:x>0.47306</cdr:x>
      <cdr:y>0.4921</cdr:y>
    </cdr:from>
    <cdr:to>
      <cdr:x>0.6707</cdr:x>
      <cdr:y>0.53891</cdr:y>
    </cdr:to>
    <cdr:sp macro="" textlink="">
      <cdr:nvSpPr>
        <cdr:cNvPr id="3" name="TextBox 1"/>
        <cdr:cNvSpPr txBox="1"/>
      </cdr:nvSpPr>
      <cdr:spPr>
        <a:xfrm xmlns:a="http://schemas.openxmlformats.org/drawingml/2006/main">
          <a:off x="1284620" y="2168838"/>
          <a:ext cx="620086" cy="2067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30.8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EEFE1A-AF44-4341-92F2-8EAA19FB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C5DD43F9</Template>
  <TotalTime>78</TotalTime>
  <Pages>13</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McAuliffe</dc:creator>
  <cp:lastModifiedBy>Alison Verhoeven</cp:lastModifiedBy>
  <cp:revision>11</cp:revision>
  <cp:lastPrinted>2014-06-02T06:04:00Z</cp:lastPrinted>
  <dcterms:created xsi:type="dcterms:W3CDTF">2014-06-16T04:27:00Z</dcterms:created>
  <dcterms:modified xsi:type="dcterms:W3CDTF">2014-06-20T02:53:00Z</dcterms:modified>
</cp:coreProperties>
</file>